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0ED9" w:rsidRDefault="00C17EC6">
      <w:pPr>
        <w:keepLines/>
        <w:tabs>
          <w:tab w:val="left" w:pos="567"/>
        </w:tabs>
        <w:snapToGrid w:val="0"/>
        <w:spacing w:after="0"/>
        <w:rPr>
          <w:rFonts w:ascii="Arial" w:eastAsia="宋体" w:hAnsi="Arial" w:cs="Arial"/>
          <w:b/>
          <w:bCs/>
          <w:sz w:val="22"/>
          <w:szCs w:val="22"/>
          <w:lang w:eastAsia="zh-CN"/>
        </w:rPr>
      </w:pPr>
      <w:bookmarkStart w:id="0" w:name="OLE_LINK13"/>
      <w:bookmarkStart w:id="1" w:name="OLE_LINK14"/>
      <w:r>
        <w:rPr>
          <w:rFonts w:ascii="Arial" w:eastAsia="Calibri" w:hAnsi="Arial" w:cs="Arial"/>
          <w:b/>
          <w:bCs/>
          <w:sz w:val="22"/>
          <w:szCs w:val="22"/>
        </w:rPr>
        <w:t>3GPP TSG RAN Meeting #104</w:t>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hint="eastAsia"/>
          <w:b/>
          <w:bCs/>
          <w:sz w:val="22"/>
          <w:szCs w:val="22"/>
        </w:rPr>
        <w:tab/>
      </w:r>
      <w:r>
        <w:rPr>
          <w:rFonts w:ascii="Arial" w:eastAsia="宋体" w:hAnsi="Arial" w:cs="Arial" w:hint="eastAsia"/>
          <w:b/>
          <w:bCs/>
          <w:sz w:val="22"/>
          <w:szCs w:val="22"/>
          <w:lang w:eastAsia="zh-CN"/>
        </w:rPr>
        <w:t xml:space="preserve">                        </w:t>
      </w:r>
      <w:r>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 xml:space="preserve">                                  </w:t>
      </w:r>
      <w:r w:rsidR="0033758E" w:rsidRPr="0033758E">
        <w:rPr>
          <w:rFonts w:ascii="Arial" w:eastAsia="Calibri" w:hAnsi="Arial" w:cs="Arial"/>
          <w:b/>
          <w:bCs/>
          <w:sz w:val="22"/>
          <w:szCs w:val="22"/>
        </w:rPr>
        <w:t>RP-241506</w:t>
      </w:r>
    </w:p>
    <w:p w:rsidR="00B60ED9" w:rsidRDefault="00C17EC6">
      <w:pPr>
        <w:pStyle w:val="Proposal0"/>
        <w:numPr>
          <w:ilvl w:val="0"/>
          <w:numId w:val="0"/>
        </w:numPr>
        <w:snapToGrid w:val="0"/>
        <w:ind w:left="1701" w:hanging="1701"/>
        <w:rPr>
          <w:rFonts w:cs="Arial"/>
        </w:rPr>
      </w:pPr>
      <w:r>
        <w:rPr>
          <w:rFonts w:ascii="Arial" w:eastAsia="Calibri" w:hAnsi="Arial" w:cs="Arial"/>
          <w:lang w:eastAsia="en-US"/>
        </w:rPr>
        <w:t>Shanghai, China, June 17-20, 2024</w:t>
      </w:r>
    </w:p>
    <w:p w:rsidR="00B60ED9" w:rsidRDefault="00C17EC6">
      <w:pPr>
        <w:pStyle w:val="3GPPHeader"/>
        <w:tabs>
          <w:tab w:val="clear" w:pos="1800"/>
          <w:tab w:val="left" w:pos="1580"/>
        </w:tabs>
        <w:snapToGrid w:val="0"/>
        <w:rPr>
          <w:rFonts w:cs="Arial"/>
          <w:sz w:val="22"/>
        </w:rPr>
      </w:pPr>
      <w:r>
        <w:rPr>
          <w:rFonts w:cs="Arial"/>
          <w:sz w:val="22"/>
        </w:rPr>
        <w:t>Source:</w:t>
      </w:r>
      <w:r>
        <w:rPr>
          <w:rFonts w:cs="Arial"/>
          <w:sz w:val="22"/>
        </w:rPr>
        <w:tab/>
        <w:t>ZTE</w:t>
      </w:r>
    </w:p>
    <w:p w:rsidR="00B60ED9" w:rsidRDefault="00C17EC6">
      <w:pPr>
        <w:pStyle w:val="3GPPHeader"/>
        <w:tabs>
          <w:tab w:val="clear" w:pos="1800"/>
          <w:tab w:val="left" w:pos="1580"/>
        </w:tabs>
        <w:snapToGrid w:val="0"/>
        <w:rPr>
          <w:rFonts w:cs="Arial"/>
          <w:sz w:val="22"/>
        </w:rPr>
      </w:pPr>
      <w:r>
        <w:rPr>
          <w:rFonts w:cs="Arial"/>
          <w:sz w:val="22"/>
        </w:rPr>
        <w:t>Title:</w:t>
      </w:r>
      <w:r>
        <w:rPr>
          <w:rFonts w:cs="Arial"/>
          <w:sz w:val="22"/>
        </w:rPr>
        <w:tab/>
        <w:t>Views on NR-NTN in Rel-19</w:t>
      </w:r>
    </w:p>
    <w:p w:rsidR="00B60ED9" w:rsidRDefault="00C17EC6">
      <w:pPr>
        <w:pStyle w:val="3GPPHeader"/>
        <w:tabs>
          <w:tab w:val="clear" w:pos="1800"/>
          <w:tab w:val="left" w:pos="1580"/>
        </w:tabs>
        <w:snapToGrid w:val="0"/>
        <w:rPr>
          <w:rFonts w:cs="Arial"/>
          <w:sz w:val="22"/>
        </w:rPr>
      </w:pPr>
      <w:r>
        <w:rPr>
          <w:rFonts w:cs="Arial"/>
          <w:sz w:val="22"/>
        </w:rPr>
        <w:t>Agenda Item:</w:t>
      </w:r>
      <w:r>
        <w:rPr>
          <w:rFonts w:cs="Arial"/>
          <w:sz w:val="22"/>
        </w:rPr>
        <w:tab/>
      </w:r>
      <w:r>
        <w:rPr>
          <w:rFonts w:hint="eastAsia"/>
          <w:sz w:val="22"/>
        </w:rPr>
        <w:t>9.</w:t>
      </w:r>
      <w:r>
        <w:rPr>
          <w:sz w:val="22"/>
        </w:rPr>
        <w:t>3</w:t>
      </w:r>
      <w:r>
        <w:rPr>
          <w:rFonts w:hint="eastAsia"/>
          <w:sz w:val="22"/>
        </w:rPr>
        <w:t>.</w:t>
      </w:r>
      <w:r>
        <w:rPr>
          <w:sz w:val="22"/>
        </w:rPr>
        <w:t>2</w:t>
      </w:r>
      <w:r>
        <w:rPr>
          <w:rFonts w:hint="eastAsia"/>
          <w:sz w:val="22"/>
        </w:rPr>
        <w:t>.</w:t>
      </w:r>
      <w:r>
        <w:rPr>
          <w:sz w:val="22"/>
        </w:rPr>
        <w:t>2</w:t>
      </w:r>
    </w:p>
    <w:p w:rsidR="00B60ED9" w:rsidRDefault="00C17EC6">
      <w:pPr>
        <w:pBdr>
          <w:bottom w:val="single" w:sz="6" w:space="1" w:color="auto"/>
        </w:pBdr>
        <w:snapToGrid w:val="0"/>
        <w:rPr>
          <w:rFonts w:ascii="Arial" w:hAnsi="Arial" w:cs="Arial"/>
          <w:b/>
          <w:sz w:val="22"/>
        </w:rPr>
      </w:pPr>
      <w:r>
        <w:rPr>
          <w:rFonts w:ascii="Arial" w:hAnsi="Arial" w:cs="Arial"/>
          <w:b/>
          <w:sz w:val="22"/>
        </w:rPr>
        <w:t>Document for: Discussion</w:t>
      </w:r>
    </w:p>
    <w:p w:rsidR="00B60ED9" w:rsidRDefault="00C17EC6">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bookmarkStart w:id="2" w:name="_Ref18181"/>
      <w:r>
        <w:rPr>
          <w:rFonts w:eastAsia="黑体" w:cs="Times New Roman" w:hint="eastAsia"/>
          <w:kern w:val="0"/>
          <w:szCs w:val="30"/>
        </w:rPr>
        <w:t>Introduction</w:t>
      </w:r>
      <w:bookmarkEnd w:id="2"/>
    </w:p>
    <w:p w:rsidR="00B60ED9" w:rsidRDefault="00C17EC6">
      <w:pPr>
        <w:snapToGrid w:val="0"/>
        <w:rPr>
          <w:rFonts w:ascii="宋体" w:eastAsia="宋体" w:hAnsi="宋体" w:cs="宋体"/>
          <w:lang w:eastAsia="zh-CN"/>
        </w:rPr>
      </w:pPr>
      <w:r>
        <w:rPr>
          <w:lang w:eastAsia="zh-CN"/>
        </w:rPr>
        <w:t xml:space="preserve">In the WID of Rel-19 </w:t>
      </w:r>
      <w:r>
        <w:rPr>
          <w:lang w:eastAsia="zh-CN"/>
        </w:rPr>
        <w:fldChar w:fldCharType="begin"/>
      </w:r>
      <w:r>
        <w:rPr>
          <w:lang w:eastAsia="zh-CN"/>
        </w:rPr>
        <w:instrText xml:space="preserve"> REF _Ref152226390 \n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objectives have study phases. Moreover, the studies for </w:t>
      </w:r>
      <w:r>
        <w:rPr>
          <w:rFonts w:eastAsia="Calibri"/>
          <w:szCs w:val="20"/>
          <w:lang w:eastAsia="zh-CN"/>
        </w:rPr>
        <w:t>DFT-s-OFDM PUSCH enhancements via OCC and HD-FDD (e)</w:t>
      </w:r>
      <w:proofErr w:type="spellStart"/>
      <w:r>
        <w:rPr>
          <w:rFonts w:eastAsia="Calibri"/>
          <w:szCs w:val="20"/>
          <w:lang w:eastAsia="zh-CN"/>
        </w:rPr>
        <w:t>RedCap</w:t>
      </w:r>
      <w:proofErr w:type="spellEnd"/>
      <w:r>
        <w:rPr>
          <w:rFonts w:eastAsia="Calibri"/>
          <w:szCs w:val="20"/>
          <w:lang w:eastAsia="zh-CN"/>
        </w:rPr>
        <w:t xml:space="preserve"> UEs are targeted to be completed by RAN#104.</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numPr>
                <w:ilvl w:val="0"/>
                <w:numId w:val="17"/>
              </w:numPr>
              <w:overflowPunct w:val="0"/>
              <w:autoSpaceDE w:val="0"/>
              <w:autoSpaceDN w:val="0"/>
              <w:adjustRightInd w:val="0"/>
              <w:spacing w:after="0" w:line="276" w:lineRule="auto"/>
              <w:jc w:val="left"/>
              <w:textAlignment w:val="baseline"/>
              <w:rPr>
                <w:rFonts w:eastAsia="Calibri"/>
                <w:szCs w:val="20"/>
                <w:lang w:eastAsia="ko-KR"/>
              </w:rPr>
            </w:pPr>
            <w:bookmarkStart w:id="3" w:name="_Hlk151973856"/>
            <w:r>
              <w:rPr>
                <w:rFonts w:eastAsia="Calibri"/>
                <w:szCs w:val="20"/>
                <w:lang w:eastAsia="ko-KR"/>
              </w:rPr>
              <w:t>Study and specify</w:t>
            </w:r>
            <w:bookmarkStart w:id="4" w:name="_Hlk153196886"/>
            <w:r>
              <w:rPr>
                <w:rFonts w:eastAsia="Calibri"/>
                <w:szCs w:val="20"/>
                <w:lang w:eastAsia="ko-KR"/>
              </w:rPr>
              <w:t xml:space="preserve"> if beneficial</w:t>
            </w:r>
            <w:bookmarkEnd w:id="4"/>
            <w:r>
              <w:rPr>
                <w:rFonts w:eastAsia="Calibri"/>
                <w:szCs w:val="20"/>
                <w:lang w:eastAsia="ko-KR"/>
              </w:rPr>
              <w:t xml:space="preserve"> downlink coverage enhancements targeting support for additional reference satellite payload parameters covering both GSO and NGSO constellations operating in FR1-NTN or FR2-NTN [RAN1, RAN2, RAN4]</w:t>
            </w:r>
          </w:p>
          <w:p w:rsidR="00B60ED9" w:rsidRDefault="00C17EC6">
            <w:pPr>
              <w:pStyle w:val="af9"/>
              <w:numPr>
                <w:ilvl w:val="0"/>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Notes for this objective:</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SSB channel enhancement is not considered</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Antenna gain of UE shall be assumed to be -5.5dBi in case of smartphone in FR1-NTN, the UE is assumed to be a full duplex UE, and at least 2Rx are considered at the UE</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NGSO to be considered in priority: LEO Set-1 @ 600 km</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Rel-18 network energy saving techniques should be considered as baseline in the system level study</w:t>
            </w:r>
          </w:p>
          <w:p w:rsidR="00B60ED9" w:rsidRDefault="00C17EC6">
            <w:pPr>
              <w:numPr>
                <w:ilvl w:val="0"/>
                <w:numId w:val="17"/>
              </w:numPr>
              <w:overflowPunct w:val="0"/>
              <w:autoSpaceDE w:val="0"/>
              <w:autoSpaceDN w:val="0"/>
              <w:adjustRightInd w:val="0"/>
              <w:spacing w:after="0" w:line="276" w:lineRule="auto"/>
              <w:jc w:val="left"/>
              <w:textAlignment w:val="baseline"/>
              <w:rPr>
                <w:rFonts w:eastAsia="Calibri"/>
                <w:szCs w:val="20"/>
                <w:lang w:eastAsia="ko-KR"/>
              </w:rPr>
            </w:pPr>
            <w:r>
              <w:rPr>
                <w:rFonts w:eastAsia="Calibri"/>
                <w:szCs w:val="20"/>
                <w:lang w:eastAsia="ko-KR"/>
              </w:rPr>
              <w:t>Uplink Capacity/Throughput Enhancement for FR1-NTN [RAN1, RAN2, RAN4]</w:t>
            </w:r>
          </w:p>
          <w:p w:rsidR="00B60ED9" w:rsidRDefault="00C17EC6">
            <w:pPr>
              <w:widowControl w:val="0"/>
              <w:numPr>
                <w:ilvl w:val="0"/>
                <w:numId w:val="18"/>
              </w:numPr>
              <w:overflowPunct w:val="0"/>
              <w:autoSpaceDE w:val="0"/>
              <w:autoSpaceDN w:val="0"/>
              <w:adjustRightInd w:val="0"/>
              <w:spacing w:after="0" w:line="276" w:lineRule="auto"/>
              <w:contextualSpacing/>
              <w:jc w:val="left"/>
              <w:textAlignment w:val="baseline"/>
              <w:rPr>
                <w:rFonts w:eastAsia="Calibri"/>
                <w:szCs w:val="20"/>
                <w:lang w:eastAsia="zh-CN"/>
              </w:rPr>
            </w:pPr>
            <w:r>
              <w:rPr>
                <w:rFonts w:eastAsia="Calibri"/>
                <w:szCs w:val="20"/>
                <w:lang w:eastAsia="zh-CN"/>
              </w:rPr>
              <w:t>Study then specify, if beneficial, DFT-s-OFDM PUSCH enhancements via Orthogonal Cover Codes (OCC)</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 xml:space="preserve">Determine the achievable capacity improvement to be targeted </w:t>
            </w:r>
            <w:proofErr w:type="gramStart"/>
            <w:r>
              <w:rPr>
                <w:rFonts w:ascii="Times New Roman" w:hAnsi="Times New Roman"/>
                <w:sz w:val="20"/>
                <w:szCs w:val="20"/>
              </w:rPr>
              <w:t>taking into account</w:t>
            </w:r>
            <w:proofErr w:type="gramEnd"/>
            <w:r>
              <w:rPr>
                <w:rFonts w:ascii="Times New Roman" w:hAnsi="Times New Roman"/>
                <w:sz w:val="20"/>
                <w:szCs w:val="20"/>
              </w:rPr>
              <w:t xml:space="preserve"> realistic impairments (e.g. Doppler, time variation, phase distortion, </w:t>
            </w:r>
            <w:proofErr w:type="spellStart"/>
            <w:r>
              <w:rPr>
                <w:rFonts w:ascii="Times New Roman" w:hAnsi="Times New Roman"/>
                <w:sz w:val="20"/>
                <w:szCs w:val="20"/>
              </w:rPr>
              <w:t>etc</w:t>
            </w:r>
            <w:proofErr w:type="spellEnd"/>
            <w:r>
              <w:rPr>
                <w:rFonts w:ascii="Times New Roman" w:hAnsi="Times New Roman"/>
                <w:sz w:val="20"/>
                <w:szCs w:val="20"/>
              </w:rPr>
              <w:t>)</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 xml:space="preserve">Specify necessary </w:t>
            </w:r>
            <w:proofErr w:type="spellStart"/>
            <w:r>
              <w:rPr>
                <w:rFonts w:ascii="Times New Roman" w:hAnsi="Times New Roman"/>
                <w:sz w:val="20"/>
                <w:szCs w:val="20"/>
              </w:rPr>
              <w:t>signalling</w:t>
            </w:r>
            <w:proofErr w:type="spellEnd"/>
            <w:r>
              <w:rPr>
                <w:rFonts w:ascii="Times New Roman" w:hAnsi="Times New Roman"/>
                <w:sz w:val="20"/>
                <w:szCs w:val="20"/>
              </w:rPr>
              <w:t xml:space="preserve">, if needed </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Update RF requirements accordingly, if needed</w:t>
            </w:r>
          </w:p>
          <w:p w:rsidR="00B60ED9" w:rsidRDefault="00C17EC6">
            <w:pPr>
              <w:pStyle w:val="af9"/>
              <w:numPr>
                <w:ilvl w:val="1"/>
                <w:numId w:val="18"/>
              </w:numPr>
              <w:spacing w:after="0" w:line="276" w:lineRule="auto"/>
              <w:ind w:firstLineChars="0"/>
              <w:contextualSpacing/>
              <w:rPr>
                <w:rFonts w:ascii="Times New Roman" w:hAnsi="Times New Roman"/>
                <w:sz w:val="20"/>
                <w:szCs w:val="20"/>
              </w:rPr>
            </w:pPr>
            <w:r>
              <w:rPr>
                <w:rFonts w:ascii="Times New Roman" w:hAnsi="Times New Roman"/>
                <w:sz w:val="20"/>
                <w:szCs w:val="20"/>
              </w:rPr>
              <w:t>Note: The study can consider orthogonal cover codes across OFDM symbols, across slots, and/or within an OFDM symbol.</w:t>
            </w:r>
          </w:p>
          <w:p w:rsidR="00B60ED9" w:rsidRDefault="00C17EC6">
            <w:pPr>
              <w:pStyle w:val="af9"/>
              <w:numPr>
                <w:ilvl w:val="1"/>
                <w:numId w:val="18"/>
              </w:numPr>
              <w:spacing w:after="0" w:line="276" w:lineRule="auto"/>
              <w:ind w:firstLineChars="0"/>
              <w:contextualSpacing/>
              <w:rPr>
                <w:rFonts w:ascii="Times New Roman" w:hAnsi="Times New Roman"/>
                <w:sz w:val="20"/>
                <w:szCs w:val="20"/>
                <w:highlight w:val="yellow"/>
              </w:rPr>
            </w:pPr>
            <w:r>
              <w:rPr>
                <w:rFonts w:ascii="Times New Roman" w:hAnsi="Times New Roman"/>
                <w:sz w:val="20"/>
                <w:szCs w:val="20"/>
                <w:highlight w:val="yellow"/>
              </w:rPr>
              <w:t>Note: the study phase is targeted to be completed by RAN#104</w:t>
            </w:r>
          </w:p>
          <w:p w:rsidR="00B60ED9" w:rsidRDefault="00C17EC6">
            <w:pPr>
              <w:numPr>
                <w:ilvl w:val="0"/>
                <w:numId w:val="17"/>
              </w:numPr>
              <w:overflowPunct w:val="0"/>
              <w:autoSpaceDE w:val="0"/>
              <w:autoSpaceDN w:val="0"/>
              <w:adjustRightInd w:val="0"/>
              <w:spacing w:after="0" w:line="276" w:lineRule="auto"/>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UEs with NR NTN operating in FR1-NTN bands [RAN4, RAN1]</w:t>
            </w:r>
          </w:p>
          <w:p w:rsidR="00B60ED9" w:rsidRDefault="00C17EC6">
            <w:pPr>
              <w:widowControl w:val="0"/>
              <w:numPr>
                <w:ilvl w:val="0"/>
                <w:numId w:val="18"/>
              </w:numPr>
              <w:overflowPunct w:val="0"/>
              <w:autoSpaceDE w:val="0"/>
              <w:autoSpaceDN w:val="0"/>
              <w:adjustRightInd w:val="0"/>
              <w:spacing w:after="0" w:line="276" w:lineRule="auto"/>
              <w:contextualSpacing/>
              <w:jc w:val="left"/>
              <w:textAlignment w:val="baseline"/>
              <w:rPr>
                <w:rFonts w:eastAsia="Calibri"/>
                <w:szCs w:val="20"/>
                <w:lang w:eastAsia="zh-CN"/>
              </w:rPr>
            </w:pPr>
            <w:r>
              <w:rPr>
                <w:rFonts w:eastAsia="Calibri"/>
                <w:szCs w:val="20"/>
                <w:lang w:eastAsia="zh-CN"/>
              </w:rPr>
              <w:t xml:space="preserve">For full-duplex FDD </w:t>
            </w:r>
            <w:proofErr w:type="spellStart"/>
            <w:r>
              <w:rPr>
                <w:rFonts w:eastAsia="Calibri"/>
                <w:szCs w:val="20"/>
                <w:lang w:eastAsia="zh-CN"/>
              </w:rPr>
              <w:t>RedCap</w:t>
            </w:r>
            <w:proofErr w:type="spellEnd"/>
            <w:r>
              <w:rPr>
                <w:rFonts w:eastAsia="Calibri"/>
                <w:szCs w:val="20"/>
                <w:lang w:eastAsia="zh-CN"/>
              </w:rPr>
              <w:t xml:space="preserve"> and </w:t>
            </w:r>
            <w:proofErr w:type="spellStart"/>
            <w:r>
              <w:rPr>
                <w:rFonts w:eastAsia="Calibri"/>
                <w:szCs w:val="20"/>
                <w:lang w:eastAsia="zh-CN"/>
              </w:rPr>
              <w:t>eRedCap</w:t>
            </w:r>
            <w:proofErr w:type="spellEnd"/>
            <w:r>
              <w:rPr>
                <w:rFonts w:eastAsia="Calibri"/>
                <w:szCs w:val="20"/>
                <w:lang w:eastAsia="zh-CN"/>
              </w:rPr>
              <w:t xml:space="preserve"> UEs, define the RF and RRM requirements [RAN4]</w:t>
            </w:r>
          </w:p>
          <w:p w:rsidR="00B60ED9" w:rsidRDefault="00C17EC6">
            <w:pPr>
              <w:widowControl w:val="0"/>
              <w:numPr>
                <w:ilvl w:val="0"/>
                <w:numId w:val="18"/>
              </w:numPr>
              <w:overflowPunct w:val="0"/>
              <w:autoSpaceDE w:val="0"/>
              <w:autoSpaceDN w:val="0"/>
              <w:adjustRightInd w:val="0"/>
              <w:spacing w:after="0" w:line="276" w:lineRule="auto"/>
              <w:contextualSpacing/>
              <w:jc w:val="left"/>
              <w:textAlignment w:val="baseline"/>
              <w:rPr>
                <w:rFonts w:eastAsia="Calibri"/>
                <w:szCs w:val="20"/>
                <w:highlight w:val="yellow"/>
                <w:lang w:eastAsia="zh-CN"/>
              </w:rPr>
            </w:pPr>
            <w:r>
              <w:rPr>
                <w:rFonts w:eastAsia="Calibri"/>
                <w:szCs w:val="20"/>
                <w:highlight w:val="yellow"/>
                <w:lang w:eastAsia="zh-CN"/>
              </w:rPr>
              <w:t xml:space="preserve">For HD-FDD </w:t>
            </w:r>
            <w:proofErr w:type="spellStart"/>
            <w:r>
              <w:rPr>
                <w:rFonts w:eastAsia="Calibri"/>
                <w:szCs w:val="20"/>
                <w:highlight w:val="yellow"/>
                <w:lang w:eastAsia="zh-CN"/>
              </w:rPr>
              <w:t>RedCap</w:t>
            </w:r>
            <w:proofErr w:type="spellEnd"/>
            <w:r>
              <w:rPr>
                <w:rFonts w:eastAsia="Calibri"/>
                <w:szCs w:val="20"/>
                <w:highlight w:val="yellow"/>
                <w:lang w:eastAsia="zh-CN"/>
              </w:rPr>
              <w:t xml:space="preserve"> UEs and </w:t>
            </w:r>
            <w:proofErr w:type="spellStart"/>
            <w:r>
              <w:rPr>
                <w:rFonts w:eastAsia="Calibri"/>
                <w:szCs w:val="20"/>
                <w:highlight w:val="yellow"/>
                <w:lang w:eastAsia="zh-CN"/>
              </w:rPr>
              <w:t>eRedCap</w:t>
            </w:r>
            <w:proofErr w:type="spellEnd"/>
            <w:r>
              <w:rPr>
                <w:rFonts w:eastAsia="Calibri"/>
                <w:szCs w:val="20"/>
                <w:highlight w:val="yellow"/>
                <w:lang w:eastAsia="zh-CN"/>
              </w:rPr>
              <w:t xml:space="preserve"> UEs, check whether any essential changes are needed for their support (i.e. focusing on HD collision rules) by end of Q2/2024 [RAN1]</w:t>
            </w:r>
          </w:p>
          <w:p w:rsidR="00B60ED9" w:rsidRDefault="00C17EC6">
            <w:pPr>
              <w:widowControl w:val="0"/>
              <w:numPr>
                <w:ilvl w:val="1"/>
                <w:numId w:val="18"/>
              </w:numPr>
              <w:overflowPunct w:val="0"/>
              <w:autoSpaceDE w:val="0"/>
              <w:autoSpaceDN w:val="0"/>
              <w:adjustRightInd w:val="0"/>
              <w:spacing w:after="0" w:line="276" w:lineRule="auto"/>
              <w:contextualSpacing/>
              <w:jc w:val="left"/>
              <w:textAlignment w:val="baseline"/>
              <w:rPr>
                <w:rFonts w:eastAsia="Calibri"/>
                <w:szCs w:val="20"/>
                <w:lang w:eastAsia="zh-CN"/>
              </w:rPr>
            </w:pPr>
            <w:r>
              <w:rPr>
                <w:rFonts w:eastAsia="Calibri"/>
                <w:szCs w:val="20"/>
                <w:lang w:eastAsia="zh-CN"/>
              </w:rPr>
              <w:t>Depending on feasibility assessment above, define the RF and RRM requirements [RAN4]</w:t>
            </w:r>
          </w:p>
        </w:tc>
      </w:tr>
    </w:tbl>
    <w:bookmarkEnd w:id="3"/>
    <w:p w:rsidR="00B60ED9" w:rsidRDefault="00C17EC6">
      <w:pPr>
        <w:snapToGrid w:val="0"/>
        <w:spacing w:before="120"/>
        <w:rPr>
          <w:lang w:eastAsia="zh-CN"/>
        </w:rPr>
      </w:pPr>
      <w:r>
        <w:rPr>
          <w:lang w:eastAsia="zh-CN"/>
        </w:rPr>
        <w:t>In this contribution, the views on above objectives are elaborated.</w:t>
      </w:r>
    </w:p>
    <w:p w:rsidR="00B60ED9" w:rsidRDefault="00C17EC6">
      <w:pPr>
        <w:snapToGrid w:val="0"/>
        <w:spacing w:before="120"/>
        <w:rPr>
          <w:lang w:eastAsia="zh-CN"/>
        </w:rPr>
      </w:pPr>
      <w:r>
        <w:rPr>
          <w:rFonts w:hint="eastAsia"/>
          <w:lang w:eastAsia="zh-CN"/>
        </w:rPr>
        <w:t>In addition, there has been discussion on whether to support satellite switch with re-sync with regenerative payload in RAN2#126 with no consensus reached, our understanding on this issue is also shared.</w:t>
      </w:r>
    </w:p>
    <w:p w:rsidR="00B60ED9" w:rsidRDefault="00C17EC6">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Discussion on DL coverage enhancement</w:t>
      </w:r>
    </w:p>
    <w:p w:rsidR="00B60ED9" w:rsidRDefault="00C17EC6">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2.1 Background</w:t>
      </w:r>
    </w:p>
    <w:p w:rsidR="00B60ED9" w:rsidRDefault="00C17EC6">
      <w:pPr>
        <w:rPr>
          <w:rFonts w:eastAsia="黑体"/>
          <w:lang w:eastAsia="zh-CN"/>
        </w:rPr>
      </w:pPr>
      <w:r>
        <w:rPr>
          <w:rFonts w:eastAsia="黑体"/>
          <w:lang w:eastAsia="zh-CN"/>
        </w:rPr>
        <w:t>During the discussion of Rel-19 scope, the following justification is highlighted to reflect the major interests for DL enhancement, i.e., system level enhancement and link level enhancement.</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numPr>
                <w:ilvl w:val="0"/>
                <w:numId w:val="19"/>
              </w:numPr>
              <w:overflowPunct w:val="0"/>
              <w:autoSpaceDE w:val="0"/>
              <w:autoSpaceDN w:val="0"/>
              <w:adjustRightInd w:val="0"/>
              <w:spacing w:after="0"/>
              <w:jc w:val="left"/>
              <w:textAlignment w:val="baseline"/>
              <w:rPr>
                <w:bCs/>
              </w:rPr>
            </w:pPr>
            <w:r>
              <w:rPr>
                <w:bCs/>
              </w:rPr>
              <w:t xml:space="preserve">Offer optimized performance especially when addressing handset terminals (including smartphones with -5.5 </w:t>
            </w:r>
            <w:proofErr w:type="spellStart"/>
            <w:r>
              <w:rPr>
                <w:bCs/>
              </w:rPr>
              <w:t>dBi</w:t>
            </w:r>
            <w:proofErr w:type="spellEnd"/>
            <w:r>
              <w:rPr>
                <w:bCs/>
              </w:rPr>
              <w:t xml:space="preserve"> antenna gain) </w:t>
            </w:r>
            <w:proofErr w:type="spellStart"/>
            <w:r>
              <w:rPr>
                <w:bCs/>
              </w:rPr>
              <w:t>w.r.t.</w:t>
            </w:r>
            <w:proofErr w:type="spellEnd"/>
            <w:r>
              <w:rPr>
                <w:bCs/>
              </w:rPr>
              <w:t xml:space="preserve"> downlink coverage </w:t>
            </w:r>
            <w:r>
              <w:rPr>
                <w:iCs/>
              </w:rPr>
              <w:t xml:space="preserve">considering the NTN deployment constraints such as </w:t>
            </w:r>
            <w:r>
              <w:rPr>
                <w:iCs/>
                <w:highlight w:val="yellow"/>
              </w:rPr>
              <w:t>payload power limitation, large satellite</w:t>
            </w:r>
            <w:r>
              <w:rPr>
                <w:highlight w:val="yellow"/>
              </w:rPr>
              <w:t xml:space="preserve"> </w:t>
            </w:r>
            <w:r>
              <w:rPr>
                <w:iCs/>
                <w:highlight w:val="yellow"/>
              </w:rPr>
              <w:t>foot print and limited feeder link bandwidth</w:t>
            </w:r>
            <w:r>
              <w:rPr>
                <w:iCs/>
              </w:rPr>
              <w:t xml:space="preserve">. </w:t>
            </w:r>
            <w:r>
              <w:t xml:space="preserve">DL coverage enhancements are needed to accommodate </w:t>
            </w:r>
            <w:r>
              <w:rPr>
                <w:rStyle w:val="ui-provider"/>
              </w:rPr>
              <w:t xml:space="preserve">satellite payload constraints which may be unable to have all its beams active with the « nominal » EIRP density per beam (see Section 6.1.1 in TR 38.821) at a given time due to limited power and limited feeder link bandwidth, </w:t>
            </w:r>
            <w:r>
              <w:rPr>
                <w:rStyle w:val="ui-provider"/>
                <w:color w:val="FF0000"/>
                <w:highlight w:val="yellow"/>
              </w:rPr>
              <w:t>while</w:t>
            </w:r>
            <w:r>
              <w:rPr>
                <w:rStyle w:val="ui-provider"/>
                <w:color w:val="FF0000"/>
              </w:rPr>
              <w:t xml:space="preserve"> </w:t>
            </w:r>
            <w:r>
              <w:rPr>
                <w:bCs/>
                <w:color w:val="FF0000"/>
              </w:rPr>
              <w:t xml:space="preserve">maximizing the number of beams that can be activated simultaneously, and ensuring that all user terminals can be served across the satellite foot </w:t>
            </w:r>
            <w:r>
              <w:rPr>
                <w:bCs/>
                <w:color w:val="FF0000"/>
              </w:rPr>
              <w:lastRenderedPageBreak/>
              <w:t xml:space="preserve">print while maximizing the overall satellite throughput and ensuring that all satellite’s radio cells are kept alive even without traffic </w:t>
            </w:r>
            <w:r>
              <w:rPr>
                <w:bCs/>
              </w:rPr>
              <w:t>but allowing new users to join or preventing impact on end-user QoS.</w:t>
            </w:r>
          </w:p>
          <w:p w:rsidR="00B60ED9" w:rsidRDefault="00B60ED9">
            <w:pPr>
              <w:spacing w:after="0"/>
              <w:rPr>
                <w:iCs/>
              </w:rPr>
            </w:pPr>
          </w:p>
          <w:p w:rsidR="00B60ED9" w:rsidRDefault="00C17EC6">
            <w:pPr>
              <w:spacing w:after="0"/>
              <w:ind w:firstLine="360"/>
            </w:pPr>
            <w:r>
              <w:t>DL coverage enhancements can be considered at both</w:t>
            </w:r>
          </w:p>
          <w:p w:rsidR="00B60ED9" w:rsidRDefault="00C17EC6">
            <w:pPr>
              <w:numPr>
                <w:ilvl w:val="0"/>
                <w:numId w:val="20"/>
              </w:numPr>
              <w:overflowPunct w:val="0"/>
              <w:autoSpaceDE w:val="0"/>
              <w:autoSpaceDN w:val="0"/>
              <w:adjustRightInd w:val="0"/>
              <w:spacing w:after="0"/>
              <w:jc w:val="left"/>
              <w:textAlignment w:val="baseline"/>
              <w:rPr>
                <w:bCs/>
              </w:rPr>
            </w:pPr>
            <w:r>
              <w:rPr>
                <w:bCs/>
              </w:rPr>
              <w:t>Link level to improve the link margin of selected physical channels in order to accommodate the EIRP reduction</w:t>
            </w:r>
            <w:r>
              <w:t xml:space="preserve"> in FR1-NTN</w:t>
            </w:r>
            <w:r>
              <w:rPr>
                <w:bCs/>
              </w:rPr>
              <w:t xml:space="preserve">. </w:t>
            </w:r>
            <w:r>
              <w:rPr>
                <w:bCs/>
                <w:color w:val="FF0000"/>
              </w:rPr>
              <w:t>A link margin improvement for physical channels (e.g. PDSCH and PDCCH) may be considered without impact on SSB design</w:t>
            </w:r>
            <w:r>
              <w:rPr>
                <w:bCs/>
              </w:rPr>
              <w:t xml:space="preserve">. </w:t>
            </w:r>
          </w:p>
          <w:p w:rsidR="00B60ED9" w:rsidRDefault="00C17EC6">
            <w:pPr>
              <w:numPr>
                <w:ilvl w:val="0"/>
                <w:numId w:val="20"/>
              </w:numPr>
              <w:overflowPunct w:val="0"/>
              <w:autoSpaceDE w:val="0"/>
              <w:autoSpaceDN w:val="0"/>
              <w:adjustRightInd w:val="0"/>
              <w:spacing w:after="0"/>
              <w:jc w:val="left"/>
              <w:textAlignment w:val="baseline"/>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c>
      </w:tr>
    </w:tbl>
    <w:p w:rsidR="00B60ED9" w:rsidRDefault="00C17EC6">
      <w:pPr>
        <w:spacing w:before="120"/>
        <w:rPr>
          <w:rFonts w:eastAsia="黑体"/>
          <w:lang w:eastAsia="zh-CN"/>
        </w:rPr>
      </w:pPr>
      <w:r>
        <w:rPr>
          <w:rFonts w:eastAsia="黑体"/>
          <w:lang w:eastAsia="zh-CN"/>
        </w:rPr>
        <w:lastRenderedPageBreak/>
        <w:t xml:space="preserve">It can be clearly observed that: </w:t>
      </w:r>
    </w:p>
    <w:p w:rsidR="00B60ED9" w:rsidRDefault="00C17EC6">
      <w:pPr>
        <w:pStyle w:val="af9"/>
        <w:numPr>
          <w:ilvl w:val="0"/>
          <w:numId w:val="21"/>
        </w:numPr>
        <w:spacing w:before="120"/>
        <w:ind w:firstLineChars="0"/>
        <w:rPr>
          <w:rFonts w:ascii="Times New Roman" w:eastAsia="黑体" w:hAnsi="Times New Roman"/>
          <w:sz w:val="20"/>
          <w:szCs w:val="20"/>
        </w:rPr>
      </w:pPr>
      <w:r>
        <w:rPr>
          <w:rFonts w:ascii="Times New Roman" w:eastAsia="黑体" w:hAnsi="Times New Roman"/>
          <w:sz w:val="20"/>
          <w:szCs w:val="20"/>
        </w:rPr>
        <w:t xml:space="preserve">For the system level enhancement, the ultimate the target is to </w:t>
      </w:r>
      <w:r>
        <w:rPr>
          <w:rFonts w:ascii="Times New Roman" w:hAnsi="Times New Roman"/>
          <w:bCs/>
          <w:color w:val="FF0000"/>
          <w:sz w:val="20"/>
          <w:szCs w:val="20"/>
        </w:rPr>
        <w:t>ensure that all user terminals can be served across the satellite foot print and maximizing the overall satellite throughput and ensuring that all satellite’s radio cells are kept alive even without traffic</w:t>
      </w:r>
      <w:r>
        <w:rPr>
          <w:rFonts w:ascii="Times New Roman" w:eastAsia="黑体" w:hAnsi="Times New Roman"/>
          <w:sz w:val="20"/>
          <w:szCs w:val="20"/>
        </w:rPr>
        <w:t xml:space="preserve">. To achieve it, ensuring the almost 100% percentage of the coverage ratio of the beam footprint should be supported as the basis of this WI. </w:t>
      </w:r>
    </w:p>
    <w:p w:rsidR="00B60ED9" w:rsidRDefault="00C17EC6">
      <w:pPr>
        <w:pStyle w:val="af9"/>
        <w:numPr>
          <w:ilvl w:val="0"/>
          <w:numId w:val="22"/>
        </w:numPr>
        <w:spacing w:before="120"/>
        <w:ind w:firstLineChars="0"/>
        <w:rPr>
          <w:rFonts w:ascii="Times New Roman" w:eastAsia="黑体" w:hAnsi="Times New Roman"/>
          <w:sz w:val="20"/>
          <w:szCs w:val="20"/>
        </w:rPr>
      </w:pPr>
      <w:r>
        <w:rPr>
          <w:rFonts w:ascii="Times New Roman" w:eastAsia="黑体" w:hAnsi="Times New Roman"/>
          <w:sz w:val="20"/>
          <w:szCs w:val="20"/>
        </w:rPr>
        <w:t xml:space="preserve">For the link level enhancement, the intention is to identify the </w:t>
      </w:r>
      <w:r>
        <w:rPr>
          <w:rFonts w:ascii="Times New Roman" w:eastAsia="黑体" w:hAnsi="Times New Roman"/>
          <w:color w:val="FF0000"/>
          <w:sz w:val="20"/>
          <w:szCs w:val="20"/>
        </w:rPr>
        <w:t>potential margin for improvement of physicals channels. However, the SSB impacts should be precluded for link level enhancement</w:t>
      </w:r>
      <w:r>
        <w:rPr>
          <w:rFonts w:ascii="Times New Roman" w:eastAsia="黑体" w:hAnsi="Times New Roman"/>
          <w:sz w:val="20"/>
          <w:szCs w:val="20"/>
        </w:rPr>
        <w:t>.</w:t>
      </w:r>
    </w:p>
    <w:p w:rsidR="00B60ED9" w:rsidRDefault="00C17EC6">
      <w:pPr>
        <w:snapToGrid w:val="0"/>
        <w:spacing w:before="120"/>
        <w:rPr>
          <w:i/>
          <w:szCs w:val="20"/>
        </w:rPr>
      </w:pPr>
      <w:r>
        <w:rPr>
          <w:b/>
          <w:i/>
          <w:szCs w:val="20"/>
        </w:rPr>
        <w:t xml:space="preserve">Observation 1: </w:t>
      </w:r>
      <w:r>
        <w:rPr>
          <w:i/>
          <w:szCs w:val="20"/>
        </w:rPr>
        <w:t xml:space="preserve">The target of the DL enhancement is well justified as: </w:t>
      </w:r>
    </w:p>
    <w:p w:rsidR="00B60ED9" w:rsidRDefault="00C17EC6">
      <w:pPr>
        <w:pStyle w:val="af9"/>
        <w:numPr>
          <w:ilvl w:val="0"/>
          <w:numId w:val="22"/>
        </w:numPr>
        <w:snapToGrid w:val="0"/>
        <w:spacing w:before="120"/>
        <w:ind w:firstLineChars="0"/>
        <w:rPr>
          <w:rFonts w:ascii="Times New Roman" w:eastAsiaTheme="minorEastAsia" w:hAnsi="Times New Roman"/>
          <w:i/>
          <w:sz w:val="20"/>
          <w:szCs w:val="20"/>
        </w:rPr>
      </w:pPr>
      <w:r>
        <w:rPr>
          <w:rFonts w:ascii="Times New Roman" w:hAnsi="Times New Roman"/>
          <w:i/>
          <w:sz w:val="20"/>
          <w:szCs w:val="20"/>
        </w:rPr>
        <w:t>Ensuring the service availability for all UE, (i.e., 100% coverage ratio for satellite foot print) in system level.</w:t>
      </w:r>
    </w:p>
    <w:p w:rsidR="00B60ED9" w:rsidRDefault="00C17EC6">
      <w:pPr>
        <w:pStyle w:val="af9"/>
        <w:numPr>
          <w:ilvl w:val="0"/>
          <w:numId w:val="22"/>
        </w:numPr>
        <w:snapToGrid w:val="0"/>
        <w:spacing w:before="120"/>
        <w:ind w:firstLineChars="0"/>
        <w:rPr>
          <w:rFonts w:ascii="Times New Roman" w:eastAsiaTheme="minorEastAsia" w:hAnsi="Times New Roman"/>
          <w:i/>
          <w:sz w:val="20"/>
          <w:szCs w:val="20"/>
        </w:rPr>
      </w:pPr>
      <w:r>
        <w:rPr>
          <w:rFonts w:ascii="Times New Roman" w:hAnsi="Times New Roman"/>
          <w:i/>
          <w:sz w:val="20"/>
          <w:szCs w:val="20"/>
        </w:rPr>
        <w:t>Identify</w:t>
      </w:r>
      <w:r>
        <w:rPr>
          <w:rFonts w:ascii="Times New Roman" w:hAnsi="Times New Roman" w:hint="eastAsia"/>
          <w:i/>
          <w:sz w:val="20"/>
          <w:szCs w:val="20"/>
        </w:rPr>
        <w:t>ing</w:t>
      </w:r>
      <w:r>
        <w:rPr>
          <w:rFonts w:ascii="Times New Roman" w:hAnsi="Times New Roman"/>
          <w:i/>
          <w:sz w:val="20"/>
          <w:szCs w:val="20"/>
        </w:rPr>
        <w:t xml:space="preserve"> the margin for link-level improvement without impact on SSB in link level.</w:t>
      </w:r>
    </w:p>
    <w:p w:rsidR="00B60ED9" w:rsidRDefault="00C17EC6">
      <w:pPr>
        <w:spacing w:before="120"/>
        <w:rPr>
          <w:rFonts w:eastAsia="黑体"/>
          <w:lang w:eastAsia="zh-CN"/>
        </w:rPr>
      </w:pPr>
      <w:r>
        <w:rPr>
          <w:rFonts w:eastAsia="黑体"/>
          <w:lang w:eastAsia="zh-CN"/>
        </w:rPr>
        <w:t>Additionally, in RAN1#116 and RAN1#116bis, as reflected in the agreements listed in appendix, three satellite parameter sets (i.e., with different assumption on the simultaneously active beams, link budget at given elevation angle) have been agreed to reflect the realistic limitation and assumption on satellite capabilities, which are essential parts of the “</w:t>
      </w:r>
      <w:r>
        <w:rPr>
          <w:iCs/>
          <w:highlight w:val="yellow"/>
        </w:rPr>
        <w:t>NTN deployment constraints</w:t>
      </w:r>
      <w:r>
        <w:rPr>
          <w:rFonts w:eastAsia="黑体"/>
          <w:lang w:eastAsia="zh-CN"/>
        </w:rPr>
        <w:t>”.  Then, the potential normative phase should also focus on the identified issues based on the agreed parameter sets.</w:t>
      </w:r>
    </w:p>
    <w:p w:rsidR="00B60ED9" w:rsidRDefault="00C17EC6">
      <w:pPr>
        <w:snapToGrid w:val="0"/>
        <w:spacing w:before="120"/>
        <w:rPr>
          <w:i/>
          <w:szCs w:val="20"/>
        </w:rPr>
      </w:pPr>
      <w:r>
        <w:rPr>
          <w:b/>
          <w:i/>
          <w:szCs w:val="20"/>
        </w:rPr>
        <w:t xml:space="preserve">Observation 2: </w:t>
      </w:r>
      <w:r>
        <w:rPr>
          <w:i/>
          <w:szCs w:val="20"/>
        </w:rPr>
        <w:t xml:space="preserve">The parameters sets agreed in RAN1 reflect the existing NTN deployment constrains. </w:t>
      </w:r>
    </w:p>
    <w:p w:rsidR="00B60ED9" w:rsidRDefault="00C17EC6">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2.2 Clarification on the system level enhancement</w:t>
      </w:r>
    </w:p>
    <w:p w:rsidR="00B60ED9" w:rsidRDefault="00C17EC6">
      <w:pPr>
        <w:tabs>
          <w:tab w:val="left" w:pos="2160"/>
        </w:tabs>
        <w:rPr>
          <w:rFonts w:eastAsia="宋体"/>
          <w:lang w:eastAsia="zh-CN"/>
        </w:rPr>
      </w:pPr>
      <w:r>
        <w:rPr>
          <w:rFonts w:eastAsia="宋体"/>
          <w:lang w:eastAsia="zh-CN"/>
        </w:rPr>
        <w:t>For the system level enhancement, in RAN1#117, the following observation has been achieved:</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rPr>
                <w:rFonts w:eastAsia="等线"/>
                <w:iCs/>
                <w:szCs w:val="20"/>
                <w:lang w:eastAsia="zh-CN"/>
              </w:rPr>
            </w:pPr>
            <w:r>
              <w:rPr>
                <w:b/>
                <w:iCs/>
                <w:szCs w:val="20"/>
                <w:lang w:eastAsia="zh-CN"/>
              </w:rPr>
              <w:t>Observation</w:t>
            </w:r>
          </w:p>
          <w:p w:rsidR="00B60ED9" w:rsidRDefault="00C17EC6">
            <w:pPr>
              <w:spacing w:after="0"/>
              <w:rPr>
                <w:rFonts w:eastAsia="等线"/>
                <w:iCs/>
                <w:sz w:val="16"/>
                <w:szCs w:val="16"/>
                <w:lang w:eastAsia="zh-CN"/>
              </w:rPr>
            </w:pPr>
            <w:r>
              <w:rPr>
                <w:sz w:val="16"/>
                <w:szCs w:val="16"/>
              </w:rPr>
              <w:t xml:space="preserve">Based on the results of DL coverage </w:t>
            </w:r>
            <w:r>
              <w:rPr>
                <w:rFonts w:eastAsia="等线"/>
                <w:iCs/>
                <w:sz w:val="16"/>
                <w:szCs w:val="16"/>
                <w:lang w:eastAsia="zh-CN"/>
              </w:rPr>
              <w:t xml:space="preserve">ratio </w:t>
            </w:r>
            <w:r>
              <w:rPr>
                <w:sz w:val="16"/>
                <w:szCs w:val="16"/>
              </w:rPr>
              <w:t>evaluation at system level collected from 7 sources</w:t>
            </w:r>
            <w:r>
              <w:rPr>
                <w:rFonts w:eastAsia="等线"/>
                <w:iCs/>
                <w:sz w:val="16"/>
                <w:szCs w:val="16"/>
                <w:lang w:eastAsia="zh-CN"/>
              </w:rPr>
              <w:t xml:space="preserve"> for all the three LEO600km satellite parameter sets where the beam footprint diameter is 50 km:</w:t>
            </w:r>
          </w:p>
          <w:p w:rsidR="00B60ED9" w:rsidRDefault="00C17EC6">
            <w:pPr>
              <w:pStyle w:val="af9"/>
              <w:widowControl/>
              <w:numPr>
                <w:ilvl w:val="0"/>
                <w:numId w:val="23"/>
              </w:numPr>
              <w:spacing w:after="0"/>
              <w:ind w:firstLineChars="0"/>
              <w:rPr>
                <w:rFonts w:ascii="Times New Roman" w:eastAsia="等线" w:hAnsi="Times New Roman"/>
                <w:iCs/>
                <w:sz w:val="16"/>
                <w:szCs w:val="16"/>
                <w:highlight w:val="yellow"/>
              </w:rPr>
            </w:pPr>
            <w:r>
              <w:rPr>
                <w:rFonts w:ascii="Times New Roman" w:eastAsia="等线" w:hAnsi="Times New Roman"/>
                <w:iCs/>
                <w:sz w:val="16"/>
                <w:szCs w:val="16"/>
                <w:highlight w:val="yellow"/>
              </w:rPr>
              <w:t>For Set 1-1/1-3, the coverage ratio can be improved from 10% to 100% if the SSB periodicity is increased from 20ms to 80ms and beam hopping is applied</w:t>
            </w:r>
          </w:p>
          <w:p w:rsidR="00B60ED9" w:rsidRDefault="00C17EC6">
            <w:pPr>
              <w:pStyle w:val="af9"/>
              <w:widowControl/>
              <w:numPr>
                <w:ilvl w:val="0"/>
                <w:numId w:val="23"/>
              </w:numPr>
              <w:spacing w:after="0"/>
              <w:ind w:firstLineChars="0"/>
              <w:rPr>
                <w:rFonts w:ascii="Times New Roman" w:eastAsia="等线" w:hAnsi="Times New Roman"/>
                <w:iCs/>
                <w:sz w:val="16"/>
                <w:szCs w:val="16"/>
                <w:highlight w:val="yellow"/>
              </w:rPr>
            </w:pPr>
            <w:r>
              <w:rPr>
                <w:rFonts w:ascii="Times New Roman" w:eastAsia="等线" w:hAnsi="Times New Roman"/>
                <w:iCs/>
                <w:sz w:val="16"/>
                <w:szCs w:val="16"/>
                <w:highlight w:val="yellow"/>
              </w:rPr>
              <w:t>For Set 1-2, the coverage ratio can be improved from 1.5% to 96.8% if the SSB periodicity is increased from 20ms to 320ms and beam hopping is applied.</w:t>
            </w:r>
          </w:p>
          <w:p w:rsidR="00B60ED9" w:rsidRDefault="00C17EC6">
            <w:pPr>
              <w:pStyle w:val="af9"/>
              <w:widowControl/>
              <w:numPr>
                <w:ilvl w:val="0"/>
                <w:numId w:val="23"/>
              </w:numPr>
              <w:spacing w:after="0"/>
              <w:ind w:firstLineChars="0"/>
              <w:rPr>
                <w:rFonts w:ascii="Times New Roman" w:eastAsia="等线" w:hAnsi="Times New Roman"/>
                <w:iCs/>
                <w:sz w:val="16"/>
                <w:szCs w:val="16"/>
              </w:rPr>
            </w:pPr>
            <w:r>
              <w:rPr>
                <w:rFonts w:ascii="Times New Roman" w:eastAsia="等线" w:hAnsi="Times New Roman"/>
                <w:iCs/>
                <w:sz w:val="16"/>
                <w:szCs w:val="16"/>
              </w:rPr>
              <w:t xml:space="preserve">Note: coverage ratio is </w:t>
            </w:r>
            <w:r>
              <w:rPr>
                <w:rFonts w:ascii="Times New Roman" w:hAnsi="Times New Roman"/>
                <w:sz w:val="16"/>
                <w:szCs w:val="16"/>
              </w:rPr>
              <w:t>N2+N3/ total beam footprints</w:t>
            </w:r>
          </w:p>
          <w:p w:rsidR="00B60ED9" w:rsidRDefault="00C17EC6">
            <w:pPr>
              <w:pStyle w:val="af9"/>
              <w:widowControl/>
              <w:numPr>
                <w:ilvl w:val="0"/>
                <w:numId w:val="23"/>
              </w:numPr>
              <w:spacing w:after="0"/>
              <w:ind w:firstLineChars="0"/>
              <w:rPr>
                <w:rFonts w:ascii="Times New Roman" w:eastAsia="等线" w:hAnsi="Times New Roman"/>
                <w:iCs/>
                <w:sz w:val="16"/>
                <w:szCs w:val="16"/>
              </w:rPr>
            </w:pPr>
            <w:r>
              <w:rPr>
                <w:rFonts w:ascii="Times New Roman" w:eastAsia="等线" w:hAnsi="Times New Roman"/>
                <w:iCs/>
                <w:sz w:val="16"/>
                <w:szCs w:val="16"/>
              </w:rPr>
              <w:t>Note: the baseline assumes no beam hopping. TDM between SIB1 and SIB19 is assumed in those results, following current specs.</w:t>
            </w:r>
          </w:p>
          <w:p w:rsidR="00B60ED9" w:rsidRDefault="00C17EC6">
            <w:pPr>
              <w:spacing w:after="0"/>
              <w:rPr>
                <w:rFonts w:eastAsia="等线"/>
                <w:iCs/>
                <w:sz w:val="16"/>
                <w:szCs w:val="16"/>
                <w:lang w:eastAsia="zh-CN"/>
              </w:rPr>
            </w:pPr>
            <w:r>
              <w:rPr>
                <w:sz w:val="16"/>
                <w:szCs w:val="16"/>
              </w:rPr>
              <w:t xml:space="preserve">Based on the results of DL coverage </w:t>
            </w:r>
            <w:r>
              <w:rPr>
                <w:rFonts w:eastAsia="等线"/>
                <w:iCs/>
                <w:sz w:val="16"/>
                <w:szCs w:val="16"/>
                <w:lang w:eastAsia="zh-CN"/>
              </w:rPr>
              <w:t xml:space="preserve">ratio </w:t>
            </w:r>
            <w:r>
              <w:rPr>
                <w:sz w:val="16"/>
                <w:szCs w:val="16"/>
              </w:rPr>
              <w:t>evaluation at system level collected from 3 sources</w:t>
            </w:r>
            <w:r>
              <w:rPr>
                <w:rFonts w:eastAsia="等线"/>
                <w:iCs/>
                <w:sz w:val="16"/>
                <w:szCs w:val="16"/>
                <w:lang w:eastAsia="zh-CN"/>
              </w:rPr>
              <w:t xml:space="preserve"> for a deployment scenario implementing wide beam footprint:</w:t>
            </w:r>
          </w:p>
          <w:p w:rsidR="00B60ED9" w:rsidRDefault="00C17EC6">
            <w:pPr>
              <w:pStyle w:val="af9"/>
              <w:widowControl/>
              <w:numPr>
                <w:ilvl w:val="0"/>
                <w:numId w:val="23"/>
              </w:numPr>
              <w:spacing w:after="0"/>
              <w:ind w:firstLineChars="0"/>
              <w:rPr>
                <w:rFonts w:ascii="Times New Roman" w:eastAsia="等线" w:hAnsi="Times New Roman"/>
                <w:bCs/>
                <w:iCs/>
                <w:sz w:val="16"/>
                <w:szCs w:val="16"/>
              </w:rPr>
            </w:pPr>
            <w:r>
              <w:rPr>
                <w:rFonts w:ascii="Times New Roman" w:eastAsia="等线" w:hAnsi="Times New Roman"/>
                <w:bCs/>
                <w:iCs/>
                <w:sz w:val="16"/>
                <w:szCs w:val="16"/>
              </w:rPr>
              <w:t>1 source reports that w</w:t>
            </w:r>
            <w:r>
              <w:rPr>
                <w:rFonts w:ascii="Times New Roman" w:hAnsi="Times New Roman"/>
                <w:sz w:val="16"/>
                <w:szCs w:val="16"/>
                <w:lang w:eastAsia="ko-KR"/>
              </w:rPr>
              <w:t xml:space="preserve">ith a deployment of wide beam covering 4 narrow (of 50km size) beams, which means Set 1-2 FR1 with additional EIRP reduction of 6dB, </w:t>
            </w:r>
            <w:r>
              <w:rPr>
                <w:rFonts w:ascii="Times New Roman" w:hAnsi="Times New Roman"/>
                <w:sz w:val="16"/>
                <w:szCs w:val="16"/>
                <w:highlight w:val="yellow"/>
                <w:lang w:eastAsia="ko-KR"/>
              </w:rPr>
              <w:t xml:space="preserve">using SSB periodicity of 80 </w:t>
            </w:r>
            <w:proofErr w:type="spellStart"/>
            <w:r>
              <w:rPr>
                <w:rFonts w:ascii="Times New Roman" w:hAnsi="Times New Roman"/>
                <w:sz w:val="16"/>
                <w:szCs w:val="16"/>
                <w:highlight w:val="yellow"/>
                <w:lang w:eastAsia="ko-KR"/>
              </w:rPr>
              <w:t>ms</w:t>
            </w:r>
            <w:proofErr w:type="spellEnd"/>
            <w:r>
              <w:rPr>
                <w:rFonts w:ascii="Times New Roman" w:hAnsi="Times New Roman"/>
                <w:sz w:val="16"/>
                <w:szCs w:val="16"/>
                <w:lang w:eastAsia="ko-KR"/>
              </w:rPr>
              <w:t xml:space="preserve"> can provide coverage ratio of 96.8%, and</w:t>
            </w:r>
            <w:r>
              <w:rPr>
                <w:sz w:val="16"/>
                <w:szCs w:val="16"/>
              </w:rPr>
              <w:t xml:space="preserve"> </w:t>
            </w:r>
            <w:r>
              <w:rPr>
                <w:rFonts w:ascii="Times New Roman" w:hAnsi="Times New Roman"/>
                <w:sz w:val="16"/>
                <w:szCs w:val="16"/>
                <w:lang w:eastAsia="ko-KR"/>
              </w:rPr>
              <w:t xml:space="preserve">Set 1-1/1-3 FR1 with additional EIRP reduction of 6dB, </w:t>
            </w:r>
            <w:r>
              <w:rPr>
                <w:rFonts w:ascii="Times New Roman" w:hAnsi="Times New Roman"/>
                <w:sz w:val="16"/>
                <w:szCs w:val="16"/>
                <w:highlight w:val="yellow"/>
                <w:lang w:eastAsia="ko-KR"/>
              </w:rPr>
              <w:t xml:space="preserve">SSB periodicity of 80 </w:t>
            </w:r>
            <w:proofErr w:type="spellStart"/>
            <w:r>
              <w:rPr>
                <w:rFonts w:ascii="Times New Roman" w:hAnsi="Times New Roman"/>
                <w:sz w:val="16"/>
                <w:szCs w:val="16"/>
                <w:highlight w:val="yellow"/>
                <w:lang w:eastAsia="ko-KR"/>
              </w:rPr>
              <w:t>ms</w:t>
            </w:r>
            <w:proofErr w:type="spellEnd"/>
            <w:r>
              <w:rPr>
                <w:rFonts w:ascii="Times New Roman" w:hAnsi="Times New Roman"/>
                <w:sz w:val="16"/>
                <w:szCs w:val="16"/>
                <w:lang w:eastAsia="ko-KR"/>
              </w:rPr>
              <w:t xml:space="preserve"> can provide coverage of 100%.</w:t>
            </w:r>
          </w:p>
          <w:p w:rsidR="00B60ED9" w:rsidRDefault="00C17EC6">
            <w:pPr>
              <w:pStyle w:val="af9"/>
              <w:widowControl/>
              <w:numPr>
                <w:ilvl w:val="0"/>
                <w:numId w:val="23"/>
              </w:numPr>
              <w:spacing w:after="0"/>
              <w:ind w:firstLineChars="0"/>
              <w:jc w:val="left"/>
              <w:rPr>
                <w:rFonts w:ascii="Times New Roman" w:hAnsi="Times New Roman"/>
                <w:sz w:val="16"/>
                <w:szCs w:val="16"/>
                <w:lang w:eastAsia="ko-KR"/>
              </w:rPr>
            </w:pPr>
            <w:r>
              <w:rPr>
                <w:rFonts w:ascii="Times New Roman" w:hAnsi="Times New Roman"/>
                <w:sz w:val="16"/>
                <w:szCs w:val="16"/>
                <w:lang w:eastAsia="ko-KR"/>
              </w:rPr>
              <w:t xml:space="preserve">1 source observed that </w:t>
            </w:r>
            <w:r>
              <w:rPr>
                <w:rFonts w:ascii="Times New Roman" w:eastAsia="等线" w:hAnsi="Times New Roman"/>
                <w:iCs/>
                <w:sz w:val="16"/>
                <w:szCs w:val="16"/>
              </w:rPr>
              <w:t xml:space="preserve">for Set 1-1, 1-2 and 1-3, the coverage ratio can be improved from 1.5% to 100% using the </w:t>
            </w:r>
            <w:r>
              <w:rPr>
                <w:rFonts w:ascii="Times New Roman" w:hAnsi="Times New Roman"/>
                <w:sz w:val="16"/>
                <w:szCs w:val="16"/>
                <w:lang w:eastAsia="ko-KR"/>
              </w:rPr>
              <w:t>legacy default SSB periodicity of 20ms during initial access,</w:t>
            </w:r>
            <w:r>
              <w:rPr>
                <w:rFonts w:ascii="Times New Roman" w:eastAsia="等线" w:hAnsi="Times New Roman"/>
                <w:iCs/>
                <w:sz w:val="16"/>
                <w:szCs w:val="16"/>
              </w:rPr>
              <w:t xml:space="preserve"> </w:t>
            </w:r>
            <w:r>
              <w:rPr>
                <w:rFonts w:ascii="Times New Roman" w:hAnsi="Times New Roman"/>
                <w:sz w:val="16"/>
                <w:szCs w:val="16"/>
                <w:lang w:eastAsia="ko-KR"/>
              </w:rPr>
              <w:t xml:space="preserve">by choosing a wide beam footprint with beam footprint sizes of 84 km and 56 km respectively. </w:t>
            </w:r>
          </w:p>
          <w:p w:rsidR="00B60ED9" w:rsidRDefault="00C17EC6">
            <w:pPr>
              <w:pStyle w:val="af9"/>
              <w:widowControl/>
              <w:numPr>
                <w:ilvl w:val="1"/>
                <w:numId w:val="23"/>
              </w:numPr>
              <w:spacing w:after="0"/>
              <w:ind w:firstLineChars="0"/>
              <w:jc w:val="left"/>
              <w:rPr>
                <w:rFonts w:ascii="Times New Roman" w:hAnsi="Times New Roman"/>
                <w:sz w:val="16"/>
                <w:szCs w:val="16"/>
                <w:lang w:eastAsia="ko-KR"/>
              </w:rPr>
            </w:pPr>
            <w:r>
              <w:rPr>
                <w:rFonts w:ascii="Times New Roman" w:hAnsi="Times New Roman" w:hint="eastAsia"/>
                <w:sz w:val="16"/>
                <w:szCs w:val="16"/>
                <w:lang w:eastAsia="ko-KR"/>
              </w:rPr>
              <w:t>N</w:t>
            </w:r>
            <w:r>
              <w:rPr>
                <w:rFonts w:ascii="Times New Roman" w:hAnsi="Times New Roman"/>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rsidR="00B60ED9" w:rsidRDefault="00C17EC6">
            <w:pPr>
              <w:pStyle w:val="af9"/>
              <w:widowControl/>
              <w:numPr>
                <w:ilvl w:val="0"/>
                <w:numId w:val="23"/>
              </w:numPr>
              <w:spacing w:after="0"/>
              <w:ind w:firstLineChars="0"/>
              <w:jc w:val="left"/>
              <w:rPr>
                <w:rFonts w:ascii="Times New Roman" w:hAnsi="Times New Roman"/>
                <w:sz w:val="16"/>
                <w:szCs w:val="16"/>
                <w:lang w:eastAsia="ko-KR"/>
              </w:rPr>
            </w:pPr>
            <w:r>
              <w:rPr>
                <w:rFonts w:ascii="Times New Roman" w:hAnsi="Times New Roman"/>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B60ED9" w:rsidRDefault="00C17EC6">
            <w:pPr>
              <w:pStyle w:val="af9"/>
              <w:widowControl/>
              <w:numPr>
                <w:ilvl w:val="1"/>
                <w:numId w:val="23"/>
              </w:numPr>
              <w:spacing w:after="0"/>
              <w:ind w:firstLineChars="0"/>
              <w:rPr>
                <w:rFonts w:ascii="Times New Roman" w:eastAsia="等线" w:hAnsi="Times New Roman"/>
                <w:bCs/>
                <w:iCs/>
                <w:sz w:val="16"/>
                <w:szCs w:val="16"/>
              </w:rPr>
            </w:pPr>
            <w:r>
              <w:rPr>
                <w:rFonts w:ascii="Times New Roman" w:hAnsi="Times New Roman"/>
                <w:sz w:val="16"/>
                <w:szCs w:val="16"/>
                <w:lang w:eastAsia="ko-KR"/>
              </w:rPr>
              <w:t xml:space="preserve">Note: Beam footprint size is increased by increasing only the </w:t>
            </w:r>
            <w:r>
              <w:rPr>
                <w:rFonts w:ascii="Times New Roman" w:hAnsi="Times New Roman"/>
                <w:i/>
                <w:iCs/>
                <w:sz w:val="16"/>
                <w:szCs w:val="16"/>
                <w:lang w:eastAsia="ko-KR"/>
              </w:rPr>
              <w:t>adjacent beam spacing</w:t>
            </w:r>
            <w:r>
              <w:rPr>
                <w:rFonts w:ascii="Times New Roman" w:hAnsi="Times New Roman"/>
                <w:sz w:val="16"/>
                <w:szCs w:val="16"/>
                <w:lang w:eastAsia="ko-KR"/>
              </w:rPr>
              <w:t xml:space="preserve"> without increasing the 3dB </w:t>
            </w:r>
            <w:proofErr w:type="spellStart"/>
            <w:r>
              <w:rPr>
                <w:rFonts w:ascii="Times New Roman" w:hAnsi="Times New Roman"/>
                <w:sz w:val="16"/>
                <w:szCs w:val="16"/>
                <w:lang w:eastAsia="ko-KR"/>
              </w:rPr>
              <w:t>beamwidth</w:t>
            </w:r>
            <w:proofErr w:type="spellEnd"/>
            <w:r>
              <w:rPr>
                <w:rFonts w:ascii="Times New Roman" w:hAnsi="Times New Roman"/>
                <w:sz w:val="16"/>
                <w:szCs w:val="16"/>
                <w:lang w:eastAsia="ko-KR"/>
              </w:rPr>
              <w:t>.</w:t>
            </w:r>
          </w:p>
          <w:p w:rsidR="00B60ED9" w:rsidRDefault="00C17EC6">
            <w:pPr>
              <w:spacing w:after="0"/>
              <w:rPr>
                <w:sz w:val="16"/>
                <w:szCs w:val="16"/>
              </w:rPr>
            </w:pPr>
            <w:r>
              <w:rPr>
                <w:sz w:val="16"/>
                <w:szCs w:val="16"/>
              </w:rPr>
              <w:t>Note: RAN1 will further investigate the impact of SSB periodicity extension</w:t>
            </w:r>
          </w:p>
          <w:p w:rsidR="00B60ED9" w:rsidRDefault="00C17EC6">
            <w:pPr>
              <w:pStyle w:val="DraftProposal"/>
              <w:tabs>
                <w:tab w:val="clear" w:pos="720"/>
              </w:tabs>
              <w:spacing w:after="0" w:line="240" w:lineRule="auto"/>
              <w:ind w:left="0" w:firstLine="0"/>
              <w:rPr>
                <w:rFonts w:ascii="Times New Roman" w:hAnsi="Times New Roman"/>
                <w:b w:val="0"/>
                <w:sz w:val="16"/>
                <w:szCs w:val="16"/>
              </w:rPr>
            </w:pPr>
            <w:r>
              <w:rPr>
                <w:rFonts w:ascii="Times New Roman" w:hAnsi="Times New Roman"/>
                <w:b w:val="0"/>
                <w:sz w:val="16"/>
                <w:szCs w:val="16"/>
                <w:highlight w:val="yellow"/>
              </w:rPr>
              <w:t>Note: Any needed clarification “SSB channel enhancement is not considered” in the WID is up to RAN plenary</w:t>
            </w:r>
          </w:p>
          <w:p w:rsidR="00B60ED9" w:rsidRDefault="00C17EC6">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16"/>
                <w:szCs w:val="16"/>
              </w:rPr>
              <w:t>Note: RAN1 will further investigate the impact of wider beam of SSB and/or other channels on performance (e.g. link budget, capacity...)</w:t>
            </w:r>
          </w:p>
        </w:tc>
      </w:tr>
    </w:tbl>
    <w:p w:rsidR="00B60ED9" w:rsidRDefault="00C17EC6">
      <w:pPr>
        <w:tabs>
          <w:tab w:val="left" w:pos="2160"/>
        </w:tabs>
        <w:spacing w:before="120"/>
        <w:rPr>
          <w:rFonts w:eastAsia="黑体"/>
          <w:lang w:eastAsia="zh-CN"/>
        </w:rPr>
      </w:pPr>
      <w:r>
        <w:rPr>
          <w:rFonts w:eastAsia="黑体"/>
          <w:lang w:eastAsia="zh-CN"/>
        </w:rPr>
        <w:lastRenderedPageBreak/>
        <w:t xml:space="preserve">It can be found that extension of the SSB periodicity (identified by 7 sources) is one promising way to ensure the </w:t>
      </w:r>
      <w:r>
        <w:rPr>
          <w:b/>
          <w:i/>
          <w:szCs w:val="20"/>
          <w:u w:val="single"/>
        </w:rPr>
        <w:t>service availability for all UE, (i.e., 100% coverage ratio for satellite foot print)</w:t>
      </w:r>
      <w:r>
        <w:rPr>
          <w:i/>
          <w:szCs w:val="20"/>
        </w:rPr>
        <w:t xml:space="preserve"> </w:t>
      </w:r>
      <w:r>
        <w:rPr>
          <w:rFonts w:eastAsia="黑体"/>
          <w:lang w:eastAsia="zh-CN"/>
        </w:rPr>
        <w:t xml:space="preserve">along with the “beam hopping”, which is the typical satellite implementation. For other solutions, it may either require the changes of the assumption on the agreed parameter sets or should be jointly used along with the extension of the SSB periodicity and other additional enhancement (e.g., additional degradation of the link budget). </w:t>
      </w:r>
    </w:p>
    <w:p w:rsidR="00B60ED9" w:rsidRDefault="00C17EC6">
      <w:pPr>
        <w:snapToGrid w:val="0"/>
        <w:spacing w:before="120"/>
        <w:rPr>
          <w:i/>
          <w:szCs w:val="20"/>
        </w:rPr>
      </w:pPr>
      <w:r>
        <w:rPr>
          <w:b/>
          <w:i/>
          <w:szCs w:val="20"/>
        </w:rPr>
        <w:t xml:space="preserve">Observation 3: </w:t>
      </w:r>
      <w:r>
        <w:rPr>
          <w:i/>
          <w:szCs w:val="20"/>
        </w:rPr>
        <w:t xml:space="preserve">The extension of the SSB periodicity is important approach to achieve the target of DL enhancement parameters in system level. </w:t>
      </w:r>
    </w:p>
    <w:p w:rsidR="00B60ED9" w:rsidRDefault="00C17EC6">
      <w:pPr>
        <w:tabs>
          <w:tab w:val="left" w:pos="2160"/>
        </w:tabs>
        <w:spacing w:before="120"/>
        <w:rPr>
          <w:rFonts w:eastAsia="黑体"/>
          <w:lang w:eastAsia="zh-CN"/>
        </w:rPr>
      </w:pPr>
      <w:r>
        <w:rPr>
          <w:rFonts w:eastAsia="黑体"/>
          <w:lang w:eastAsia="zh-CN"/>
        </w:rPr>
        <w:t xml:space="preserve">However, during the RAN1 discussion, some companies argue that this approach is not in the scope of the WID due to the mis-interpretation of the following note in the objective: </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numPr>
                <w:ilvl w:val="0"/>
                <w:numId w:val="24"/>
              </w:numPr>
              <w:overflowPunct w:val="0"/>
              <w:autoSpaceDE w:val="0"/>
              <w:autoSpaceDN w:val="0"/>
              <w:adjustRightInd w:val="0"/>
              <w:spacing w:before="120"/>
              <w:jc w:val="left"/>
              <w:textAlignment w:val="baseline"/>
              <w:rPr>
                <w:rFonts w:eastAsia="Calibri"/>
                <w:szCs w:val="20"/>
                <w:lang w:eastAsia="ko-KR"/>
              </w:rPr>
            </w:pPr>
            <w:r>
              <w:rPr>
                <w:rFonts w:eastAsia="Calibri"/>
                <w:szCs w:val="20"/>
                <w:lang w:eastAsia="ko-KR"/>
              </w:rPr>
              <w:t>Study and specify if beneficial downlink coverage enhancements targeting support for additional reference satellite payload parameters covering both GSO and NGSO constellations operating in FR1-NTN or FR2-NTN [RAN1, RAN2, RAN4]</w:t>
            </w:r>
          </w:p>
          <w:p w:rsidR="00B60ED9" w:rsidRDefault="00C17EC6">
            <w:pPr>
              <w:pStyle w:val="af9"/>
              <w:numPr>
                <w:ilvl w:val="0"/>
                <w:numId w:val="18"/>
              </w:numPr>
              <w:spacing w:before="120"/>
              <w:ind w:firstLineChars="0"/>
              <w:contextualSpacing/>
              <w:rPr>
                <w:rFonts w:ascii="Times New Roman" w:hAnsi="Times New Roman"/>
                <w:sz w:val="20"/>
                <w:szCs w:val="20"/>
                <w:highlight w:val="yellow"/>
              </w:rPr>
            </w:pPr>
            <w:r>
              <w:rPr>
                <w:rFonts w:ascii="Times New Roman" w:hAnsi="Times New Roman"/>
                <w:sz w:val="20"/>
                <w:szCs w:val="20"/>
                <w:highlight w:val="yellow"/>
              </w:rPr>
              <w:t>Notes for this objective:</w:t>
            </w:r>
          </w:p>
          <w:p w:rsidR="00B60ED9" w:rsidRDefault="00C17EC6">
            <w:pPr>
              <w:pStyle w:val="af9"/>
              <w:numPr>
                <w:ilvl w:val="1"/>
                <w:numId w:val="18"/>
              </w:numPr>
              <w:spacing w:before="120"/>
              <w:ind w:firstLineChars="0"/>
              <w:contextualSpacing/>
              <w:rPr>
                <w:rFonts w:ascii="Times New Roman" w:hAnsi="Times New Roman"/>
                <w:sz w:val="20"/>
                <w:szCs w:val="20"/>
              </w:rPr>
            </w:pPr>
            <w:r>
              <w:rPr>
                <w:rFonts w:ascii="Times New Roman" w:hAnsi="Times New Roman"/>
                <w:sz w:val="20"/>
                <w:szCs w:val="20"/>
                <w:highlight w:val="yellow"/>
              </w:rPr>
              <w:t>SSB channel enhancement is not considered</w:t>
            </w:r>
          </w:p>
        </w:tc>
      </w:tr>
    </w:tbl>
    <w:p w:rsidR="00B60ED9" w:rsidRDefault="00C17EC6">
      <w:pPr>
        <w:tabs>
          <w:tab w:val="left" w:pos="2160"/>
        </w:tabs>
        <w:spacing w:before="120"/>
        <w:rPr>
          <w:rFonts w:eastAsiaTheme="minorEastAsia"/>
          <w:lang w:eastAsia="zh-CN"/>
        </w:rPr>
      </w:pPr>
      <w:r>
        <w:rPr>
          <w:rFonts w:eastAsia="宋体"/>
          <w:lang w:eastAsia="zh-CN"/>
        </w:rPr>
        <w:t xml:space="preserve">As discussed in </w:t>
      </w:r>
      <w:r>
        <w:rPr>
          <w:rFonts w:eastAsia="宋体"/>
          <w:b/>
          <w:i/>
          <w:u w:val="single"/>
          <w:lang w:eastAsia="zh-CN"/>
        </w:rPr>
        <w:t>Section 2.1</w:t>
      </w:r>
      <w:r>
        <w:rPr>
          <w:rFonts w:eastAsia="宋体"/>
          <w:lang w:eastAsia="zh-CN"/>
        </w:rPr>
        <w:t xml:space="preserve">, it’s clear that the intention of this note is only to avoid the additional impact on SSB for link level enhancement, e.g., additional repetition or SSB structure to further improve the minimum SNR for SSB detection. For the system-level, </w:t>
      </w:r>
      <w:r>
        <w:rPr>
          <w:rFonts w:eastAsia="宋体" w:hint="eastAsia"/>
          <w:lang w:eastAsia="zh-CN"/>
        </w:rPr>
        <w:t>updat</w:t>
      </w:r>
      <w:r>
        <w:rPr>
          <w:rFonts w:eastAsia="宋体"/>
          <w:lang w:eastAsia="zh-CN"/>
        </w:rPr>
        <w:t>ing the periodicity for SSB will not lead any changes on the SSB structure</w:t>
      </w:r>
      <w:r>
        <w:rPr>
          <w:rFonts w:eastAsiaTheme="minorEastAsia"/>
          <w:lang w:eastAsia="zh-CN"/>
        </w:rPr>
        <w:t>. Then, it’s reasonable to clarify it by updating the WID as following:</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numPr>
                <w:ilvl w:val="0"/>
                <w:numId w:val="25"/>
              </w:numPr>
              <w:overflowPunct w:val="0"/>
              <w:autoSpaceDE w:val="0"/>
              <w:autoSpaceDN w:val="0"/>
              <w:adjustRightInd w:val="0"/>
              <w:spacing w:before="120"/>
              <w:jc w:val="left"/>
              <w:textAlignment w:val="baseline"/>
              <w:rPr>
                <w:rFonts w:eastAsia="Calibri"/>
                <w:szCs w:val="20"/>
                <w:lang w:eastAsia="ko-KR"/>
              </w:rPr>
            </w:pPr>
            <w:r>
              <w:rPr>
                <w:rFonts w:eastAsia="Calibri"/>
                <w:szCs w:val="20"/>
                <w:lang w:eastAsia="ko-KR"/>
              </w:rPr>
              <w:t>Study and specify if beneficial downlink coverage enhancements targeting support for additional reference satellite payload parameters covering both GSO and NGSO constellations operating in FR1-NTN or FR2-NTN [RAN1, RAN2, RAN4]</w:t>
            </w:r>
          </w:p>
          <w:p w:rsidR="00B60ED9" w:rsidRDefault="00C17EC6">
            <w:pPr>
              <w:pStyle w:val="af9"/>
              <w:numPr>
                <w:ilvl w:val="0"/>
                <w:numId w:val="18"/>
              </w:numPr>
              <w:spacing w:before="120"/>
              <w:ind w:firstLineChars="0"/>
              <w:contextualSpacing/>
              <w:rPr>
                <w:rFonts w:ascii="Times New Roman" w:hAnsi="Times New Roman"/>
                <w:sz w:val="20"/>
                <w:szCs w:val="20"/>
                <w:highlight w:val="yellow"/>
              </w:rPr>
            </w:pPr>
            <w:r>
              <w:rPr>
                <w:rFonts w:ascii="Times New Roman" w:hAnsi="Times New Roman"/>
                <w:sz w:val="20"/>
                <w:szCs w:val="20"/>
                <w:highlight w:val="yellow"/>
              </w:rPr>
              <w:t>Notes for this objective:</w:t>
            </w:r>
          </w:p>
          <w:p w:rsidR="00B60ED9" w:rsidRDefault="00C17EC6">
            <w:pPr>
              <w:pStyle w:val="af9"/>
              <w:numPr>
                <w:ilvl w:val="1"/>
                <w:numId w:val="18"/>
              </w:numPr>
              <w:spacing w:before="120"/>
              <w:ind w:firstLineChars="0"/>
              <w:contextualSpacing/>
              <w:rPr>
                <w:rFonts w:eastAsiaTheme="minorEastAsia"/>
              </w:rPr>
            </w:pPr>
            <w:r>
              <w:rPr>
                <w:rFonts w:ascii="Times New Roman" w:hAnsi="Times New Roman"/>
                <w:sz w:val="20"/>
                <w:szCs w:val="20"/>
                <w:highlight w:val="yellow"/>
              </w:rPr>
              <w:t xml:space="preserve">SSB channel enhancement is not considered </w:t>
            </w:r>
            <w:r>
              <w:rPr>
                <w:rFonts w:ascii="Times New Roman" w:hAnsi="Times New Roman"/>
                <w:color w:val="FF0000"/>
                <w:sz w:val="20"/>
                <w:szCs w:val="20"/>
                <w:highlight w:val="yellow"/>
              </w:rPr>
              <w:t>for link level enhancement</w:t>
            </w:r>
            <w:r>
              <w:rPr>
                <w:rFonts w:ascii="Times New Roman" w:hAnsi="Times New Roman"/>
                <w:sz w:val="20"/>
                <w:szCs w:val="20"/>
                <w:highlight w:val="yellow"/>
              </w:rPr>
              <w:t>.</w:t>
            </w:r>
          </w:p>
        </w:tc>
      </w:tr>
    </w:tbl>
    <w:p w:rsidR="00B60ED9" w:rsidRDefault="00C17EC6">
      <w:pPr>
        <w:snapToGrid w:val="0"/>
        <w:spacing w:before="120"/>
        <w:rPr>
          <w:rFonts w:eastAsiaTheme="minorEastAsia"/>
          <w:i/>
          <w:lang w:eastAsia="zh-CN"/>
        </w:rPr>
      </w:pPr>
      <w:r>
        <w:rPr>
          <w:b/>
          <w:i/>
          <w:lang w:eastAsia="zh-CN"/>
        </w:rPr>
        <w:t>Observation 4:</w:t>
      </w:r>
      <w:r>
        <w:rPr>
          <w:rFonts w:hint="eastAsia"/>
          <w:b/>
          <w:i/>
          <w:lang w:eastAsia="zh-CN"/>
        </w:rPr>
        <w:t xml:space="preserve"> </w:t>
      </w:r>
      <w:r>
        <w:rPr>
          <w:i/>
          <w:lang w:eastAsia="zh-CN"/>
        </w:rPr>
        <w:t>The note of “SSB channel enhancement is not considered” in WID is only for link level enhancement and does not impact the discussion on SSB periodicity extension for system level enhancement.</w:t>
      </w:r>
    </w:p>
    <w:p w:rsidR="00B60ED9" w:rsidRDefault="00C17EC6">
      <w:pPr>
        <w:snapToGrid w:val="0"/>
        <w:spacing w:before="120"/>
        <w:rPr>
          <w:i/>
          <w:lang w:eastAsia="zh-CN"/>
        </w:rPr>
      </w:pPr>
      <w:r>
        <w:rPr>
          <w:b/>
          <w:i/>
          <w:lang w:eastAsia="zh-CN"/>
        </w:rPr>
        <w:t>Proposal 1:</w:t>
      </w:r>
      <w:r>
        <w:rPr>
          <w:rFonts w:hint="eastAsia"/>
          <w:b/>
          <w:i/>
          <w:lang w:eastAsia="zh-CN"/>
        </w:rPr>
        <w:t xml:space="preserve"> </w:t>
      </w:r>
      <w:r>
        <w:rPr>
          <w:i/>
          <w:lang w:eastAsia="zh-CN"/>
        </w:rPr>
        <w:t>Updat</w:t>
      </w:r>
      <w:r w:rsidR="002E2488">
        <w:rPr>
          <w:i/>
          <w:lang w:eastAsia="zh-CN"/>
        </w:rPr>
        <w:t>e</w:t>
      </w:r>
      <w:r>
        <w:rPr>
          <w:i/>
          <w:lang w:eastAsia="zh-CN"/>
        </w:rPr>
        <w:t xml:space="preserve"> the description of WID as </w:t>
      </w:r>
      <w:r w:rsidR="002E2488">
        <w:rPr>
          <w:i/>
          <w:lang w:eastAsia="zh-CN"/>
        </w:rPr>
        <w:t>below</w:t>
      </w:r>
      <w:r>
        <w:rPr>
          <w:i/>
          <w:lang w:eastAsia="zh-CN"/>
        </w:rPr>
        <w:t xml:space="preserve"> to clarify that the intention of the note is only for link level enhancement and does not impact the discussion on SSB periodicity extension for system level enhancement:</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numPr>
                <w:ilvl w:val="0"/>
                <w:numId w:val="26"/>
              </w:numPr>
              <w:overflowPunct w:val="0"/>
              <w:autoSpaceDE w:val="0"/>
              <w:autoSpaceDN w:val="0"/>
              <w:adjustRightInd w:val="0"/>
              <w:spacing w:before="120"/>
              <w:textAlignment w:val="baseline"/>
              <w:rPr>
                <w:rFonts w:eastAsia="Calibri"/>
                <w:szCs w:val="20"/>
                <w:lang w:eastAsia="ko-KR"/>
              </w:rPr>
            </w:pPr>
            <w:r>
              <w:rPr>
                <w:rFonts w:eastAsia="Calibri"/>
                <w:szCs w:val="20"/>
                <w:lang w:eastAsia="ko-KR"/>
              </w:rPr>
              <w:t>Study and specify if beneficial downlink coverage enhancements targeting support for additional reference satellite payload parameters covering both GSO and NGSO constellations operating in FR1-NTN or FR2-NTN [RAN1, RAN2, RAN4]</w:t>
            </w:r>
          </w:p>
          <w:p w:rsidR="00B60ED9" w:rsidRDefault="00C17EC6">
            <w:pPr>
              <w:pStyle w:val="af9"/>
              <w:numPr>
                <w:ilvl w:val="0"/>
                <w:numId w:val="18"/>
              </w:numPr>
              <w:spacing w:before="120"/>
              <w:ind w:firstLineChars="0"/>
              <w:contextualSpacing/>
              <w:rPr>
                <w:rFonts w:ascii="Times New Roman" w:hAnsi="Times New Roman"/>
                <w:sz w:val="20"/>
                <w:szCs w:val="20"/>
              </w:rPr>
            </w:pPr>
            <w:r>
              <w:rPr>
                <w:rFonts w:ascii="Times New Roman" w:hAnsi="Times New Roman"/>
                <w:sz w:val="20"/>
                <w:szCs w:val="20"/>
              </w:rPr>
              <w:t>Notes for this objective:</w:t>
            </w:r>
          </w:p>
          <w:p w:rsidR="00B60ED9" w:rsidRDefault="00C17EC6">
            <w:pPr>
              <w:pStyle w:val="af9"/>
              <w:numPr>
                <w:ilvl w:val="1"/>
                <w:numId w:val="18"/>
              </w:numPr>
              <w:spacing w:before="120"/>
              <w:ind w:firstLineChars="0"/>
              <w:contextualSpacing/>
              <w:rPr>
                <w:rFonts w:eastAsiaTheme="minorEastAsia"/>
              </w:rPr>
            </w:pPr>
            <w:r>
              <w:rPr>
                <w:rFonts w:ascii="Times New Roman" w:hAnsi="Times New Roman"/>
                <w:sz w:val="20"/>
                <w:szCs w:val="20"/>
              </w:rPr>
              <w:t xml:space="preserve">SSB channel enhancement is not considered </w:t>
            </w:r>
            <w:r>
              <w:rPr>
                <w:rFonts w:ascii="Times New Roman" w:hAnsi="Times New Roman"/>
                <w:color w:val="FF0000"/>
                <w:sz w:val="20"/>
                <w:szCs w:val="20"/>
              </w:rPr>
              <w:t>for link level enhancement</w:t>
            </w:r>
            <w:r>
              <w:rPr>
                <w:rFonts w:ascii="Times New Roman" w:hAnsi="Times New Roman"/>
                <w:sz w:val="20"/>
                <w:szCs w:val="20"/>
              </w:rPr>
              <w:t>.</w:t>
            </w:r>
          </w:p>
        </w:tc>
      </w:tr>
    </w:tbl>
    <w:p w:rsidR="00B60ED9" w:rsidRDefault="00C17EC6">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2.2 Clarification on the link level enhancement</w:t>
      </w:r>
    </w:p>
    <w:p w:rsidR="00B60ED9" w:rsidRDefault="00C17EC6">
      <w:pPr>
        <w:snapToGrid w:val="0"/>
        <w:rPr>
          <w:szCs w:val="20"/>
          <w:lang w:eastAsia="zh-CN"/>
        </w:rPr>
      </w:pPr>
      <w:r>
        <w:rPr>
          <w:szCs w:val="20"/>
          <w:lang w:eastAsia="zh-CN"/>
        </w:rPr>
        <w:t xml:space="preserve">Based on the agreed parameters, the initial sets of observations for the link level performance of physical channels, i.e., required SNR, has been achieved in RAN1#117. Based on observations in RAN1, all the physical channels have performance margin compared to -1.9dB CNR and some of them have performance gap compared to -9.9dB CNR. Meanwhile, for the observation to each channel, e.g., PDCCH, RAN1 also clearly highlights that: </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pStyle w:val="af9"/>
              <w:widowControl/>
              <w:numPr>
                <w:ilvl w:val="0"/>
                <w:numId w:val="27"/>
              </w:numPr>
              <w:spacing w:after="0"/>
              <w:ind w:firstLineChars="0"/>
              <w:jc w:val="left"/>
              <w:rPr>
                <w:bCs/>
                <w:sz w:val="20"/>
                <w:szCs w:val="20"/>
              </w:rPr>
            </w:pPr>
            <w:r>
              <w:rPr>
                <w:rFonts w:ascii="Times New Roman" w:hAnsi="Times New Roman"/>
                <w:bCs/>
                <w:sz w:val="20"/>
                <w:szCs w:val="20"/>
              </w:rPr>
              <w:t xml:space="preserve">Note: the results above are obtained independently from the performance of other channels or signals, and </w:t>
            </w:r>
            <w:r>
              <w:rPr>
                <w:rFonts w:ascii="Times New Roman" w:hAnsi="Times New Roman"/>
                <w:bCs/>
                <w:color w:val="FF0000"/>
                <w:sz w:val="20"/>
                <w:szCs w:val="20"/>
              </w:rPr>
              <w:t>it doesn’t imply the successful reception for other channels or signals</w:t>
            </w:r>
            <w:r>
              <w:rPr>
                <w:rFonts w:ascii="Times New Roman" w:hAnsi="Times New Roman"/>
                <w:bCs/>
                <w:sz w:val="20"/>
                <w:szCs w:val="20"/>
              </w:rPr>
              <w:t xml:space="preserve"> before or after the detection of </w:t>
            </w:r>
            <w:r>
              <w:rPr>
                <w:rFonts w:ascii="Times New Roman" w:hAnsi="Times New Roman"/>
                <w:sz w:val="20"/>
                <w:szCs w:val="20"/>
              </w:rPr>
              <w:t>PDCCH</w:t>
            </w:r>
            <w:r>
              <w:rPr>
                <w:rFonts w:ascii="Times New Roman" w:hAnsi="Times New Roman"/>
                <w:bCs/>
                <w:sz w:val="20"/>
                <w:szCs w:val="20"/>
              </w:rPr>
              <w:t>.</w:t>
            </w:r>
          </w:p>
        </w:tc>
      </w:tr>
    </w:tbl>
    <w:p w:rsidR="00B60ED9" w:rsidRDefault="00C17EC6">
      <w:pPr>
        <w:snapToGrid w:val="0"/>
        <w:spacing w:before="120"/>
        <w:rPr>
          <w:szCs w:val="20"/>
          <w:lang w:eastAsia="zh-CN"/>
        </w:rPr>
      </w:pPr>
      <w:r>
        <w:rPr>
          <w:szCs w:val="20"/>
          <w:lang w:eastAsia="zh-CN"/>
        </w:rPr>
        <w:t xml:space="preserve">The reason behind is that given the realistic assumption on NTN deployment, e.g., the large Doppler and time drift, for the SSB reception, e.g., PSS detection, the required SNR will be larger comparing with the TN case, and resulting the different margin compared to other channels for Set-3 </w:t>
      </w:r>
      <w:r>
        <w:rPr>
          <w:szCs w:val="20"/>
          <w:lang w:eastAsia="zh-CN"/>
        </w:rPr>
        <w:fldChar w:fldCharType="begin"/>
      </w:r>
      <w:r>
        <w:rPr>
          <w:szCs w:val="20"/>
          <w:lang w:eastAsia="zh-CN"/>
        </w:rPr>
        <w:instrText xml:space="preserve"> REF _Ref167872288 \n \h  \* MERGEFORMAT </w:instrText>
      </w:r>
      <w:r>
        <w:rPr>
          <w:szCs w:val="20"/>
          <w:lang w:eastAsia="zh-CN"/>
        </w:rPr>
      </w:r>
      <w:r>
        <w:rPr>
          <w:szCs w:val="20"/>
          <w:lang w:eastAsia="zh-CN"/>
        </w:rPr>
        <w:fldChar w:fldCharType="separate"/>
      </w:r>
      <w:r>
        <w:rPr>
          <w:szCs w:val="20"/>
          <w:lang w:eastAsia="zh-CN"/>
        </w:rPr>
        <w:t>[2]</w:t>
      </w:r>
      <w:r>
        <w:rPr>
          <w:szCs w:val="20"/>
          <w:lang w:eastAsia="zh-CN"/>
        </w:rPr>
        <w:fldChar w:fldCharType="end"/>
      </w:r>
      <w:r>
        <w:rPr>
          <w:szCs w:val="20"/>
          <w:lang w:eastAsia="zh-CN"/>
        </w:rPr>
        <w:t xml:space="preserve">. </w:t>
      </w:r>
    </w:p>
    <w:p w:rsidR="00B60ED9" w:rsidRDefault="00C17EC6">
      <w:pPr>
        <w:snapToGrid w:val="0"/>
        <w:spacing w:before="120"/>
        <w:rPr>
          <w:szCs w:val="20"/>
        </w:rPr>
      </w:pPr>
      <w:r>
        <w:rPr>
          <w:szCs w:val="20"/>
          <w:lang w:eastAsia="zh-CN"/>
        </w:rPr>
        <w:t xml:space="preserve">Then considering the above-mentioned restriction (e.g., </w:t>
      </w:r>
      <w:r>
        <w:rPr>
          <w:bCs/>
          <w:szCs w:val="20"/>
        </w:rPr>
        <w:t>A link margin improvement for physical channels (e.g. PDSCH and PDCCH) may be considered without impact on SSB design.</w:t>
      </w:r>
      <w:r>
        <w:rPr>
          <w:szCs w:val="20"/>
          <w:lang w:eastAsia="zh-CN"/>
        </w:rPr>
        <w:t xml:space="preserve">) on link level enhancement, we should avoid the enhancement on other channels based on the ambitious assumption on the target SINR, which is even lower than the required SINR for SSB. </w:t>
      </w:r>
    </w:p>
    <w:p w:rsidR="00B60ED9" w:rsidRDefault="00C17EC6">
      <w:pPr>
        <w:snapToGrid w:val="0"/>
        <w:spacing w:before="120"/>
        <w:rPr>
          <w:rFonts w:eastAsiaTheme="minorEastAsia"/>
          <w:i/>
          <w:szCs w:val="20"/>
          <w:lang w:eastAsia="zh-CN"/>
        </w:rPr>
      </w:pPr>
      <w:r>
        <w:rPr>
          <w:b/>
          <w:i/>
          <w:szCs w:val="20"/>
          <w:lang w:eastAsia="zh-CN"/>
        </w:rPr>
        <w:t>Proposal 2:</w:t>
      </w:r>
      <w:r>
        <w:rPr>
          <w:rFonts w:hint="eastAsia"/>
          <w:b/>
          <w:i/>
          <w:szCs w:val="20"/>
          <w:lang w:eastAsia="zh-CN"/>
        </w:rPr>
        <w:t xml:space="preserve"> </w:t>
      </w:r>
      <w:r>
        <w:rPr>
          <w:i/>
          <w:szCs w:val="20"/>
          <w:lang w:eastAsia="zh-CN"/>
        </w:rPr>
        <w:t>RAN1 further consider the study on link level enhancement for the identified channel(s) without exceeding the SNR limitation of the SSB detection according to realistic assumption.</w:t>
      </w:r>
    </w:p>
    <w:p w:rsidR="00B60ED9" w:rsidRDefault="00C17EC6">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lastRenderedPageBreak/>
        <w:t xml:space="preserve">Discussion on </w:t>
      </w:r>
      <w:r>
        <w:rPr>
          <w:rFonts w:eastAsia="黑体" w:cs="Times New Roman" w:hint="eastAsia"/>
          <w:kern w:val="0"/>
          <w:szCs w:val="30"/>
        </w:rPr>
        <w:t>UL</w:t>
      </w:r>
      <w:r>
        <w:rPr>
          <w:rFonts w:eastAsia="黑体" w:cs="Times New Roman"/>
          <w:kern w:val="0"/>
          <w:szCs w:val="30"/>
        </w:rPr>
        <w:t xml:space="preserve"> capacity/throughput enhancement</w:t>
      </w:r>
    </w:p>
    <w:p w:rsidR="00B60ED9" w:rsidRDefault="00C17EC6">
      <w:pPr>
        <w:rPr>
          <w:rFonts w:eastAsia="宋体"/>
          <w:lang w:eastAsia="zh-CN"/>
        </w:rPr>
      </w:pPr>
      <w:r>
        <w:rPr>
          <w:rFonts w:eastAsia="宋体" w:hint="eastAsia"/>
          <w:lang w:eastAsia="zh-CN"/>
        </w:rPr>
        <w:t>In RAN1#117, the following agreement and conclusion have been made:</w:t>
      </w:r>
    </w:p>
    <w:tbl>
      <w:tblPr>
        <w:tblStyle w:val="af4"/>
        <w:tblW w:w="0" w:type="auto"/>
        <w:tblLook w:val="04A0" w:firstRow="1" w:lastRow="0" w:firstColumn="1" w:lastColumn="0" w:noHBand="0" w:noVBand="1"/>
      </w:tblPr>
      <w:tblGrid>
        <w:gridCol w:w="9060"/>
      </w:tblGrid>
      <w:tr w:rsidR="00B60ED9">
        <w:tc>
          <w:tcPr>
            <w:tcW w:w="9286" w:type="dxa"/>
          </w:tcPr>
          <w:p w:rsidR="00B60ED9" w:rsidRDefault="00C17EC6">
            <w:pPr>
              <w:rPr>
                <w:iCs/>
                <w:szCs w:val="20"/>
              </w:rPr>
            </w:pPr>
            <w:r>
              <w:rPr>
                <w:bCs/>
                <w:iCs/>
                <w:szCs w:val="20"/>
                <w:highlight w:val="green"/>
              </w:rPr>
              <w:t>Agreement</w:t>
            </w:r>
          </w:p>
          <w:p w:rsidR="00B60ED9" w:rsidRDefault="00C17EC6">
            <w:pPr>
              <w:rPr>
                <w:iCs/>
                <w:szCs w:val="20"/>
              </w:rPr>
            </w:pPr>
            <w:r>
              <w:rPr>
                <w:iCs/>
                <w:szCs w:val="20"/>
              </w:rPr>
              <w:t xml:space="preserve">For the normative phase, at least one of the </w:t>
            </w:r>
            <w:r>
              <w:rPr>
                <w:bCs/>
                <w:iCs/>
                <w:szCs w:val="20"/>
              </w:rPr>
              <w:t>OCC techniques will be specified:</w:t>
            </w:r>
          </w:p>
          <w:p w:rsidR="00B60ED9" w:rsidRDefault="00C17EC6">
            <w:pPr>
              <w:numPr>
                <w:ilvl w:val="0"/>
                <w:numId w:val="28"/>
              </w:numPr>
              <w:tabs>
                <w:tab w:val="left" w:pos="420"/>
              </w:tabs>
              <w:rPr>
                <w:bCs/>
                <w:iCs/>
                <w:szCs w:val="20"/>
              </w:rPr>
            </w:pPr>
            <w:r>
              <w:rPr>
                <w:bCs/>
                <w:iCs/>
                <w:szCs w:val="20"/>
              </w:rPr>
              <w:t>Inter-slot time-domain OCC with PUSCH repetition Type A with OCC length 2 or 4</w:t>
            </w:r>
          </w:p>
          <w:p w:rsidR="00B60ED9" w:rsidRDefault="00C17EC6">
            <w:pPr>
              <w:numPr>
                <w:ilvl w:val="0"/>
                <w:numId w:val="28"/>
              </w:numPr>
              <w:tabs>
                <w:tab w:val="left" w:pos="420"/>
              </w:tabs>
              <w:rPr>
                <w:bCs/>
                <w:iCs/>
                <w:szCs w:val="20"/>
              </w:rPr>
            </w:pPr>
            <w:r>
              <w:rPr>
                <w:bCs/>
                <w:iCs/>
                <w:szCs w:val="20"/>
              </w:rPr>
              <w:t xml:space="preserve">Inter-symbol(s) time domain OCC </w:t>
            </w:r>
            <w:r>
              <w:rPr>
                <w:bCs/>
                <w:iCs/>
                <w:color w:val="000000"/>
                <w:szCs w:val="20"/>
              </w:rPr>
              <w:t>with OCC length 2 or 4</w:t>
            </w:r>
          </w:p>
          <w:p w:rsidR="00B60ED9" w:rsidRDefault="00C17EC6">
            <w:pPr>
              <w:numPr>
                <w:ilvl w:val="0"/>
                <w:numId w:val="28"/>
              </w:numPr>
              <w:tabs>
                <w:tab w:val="left" w:pos="420"/>
              </w:tabs>
              <w:rPr>
                <w:bCs/>
                <w:iCs/>
                <w:szCs w:val="20"/>
              </w:rPr>
            </w:pPr>
            <w:r>
              <w:rPr>
                <w:bCs/>
                <w:iCs/>
                <w:szCs w:val="20"/>
              </w:rPr>
              <w:t>Intra-symbol pre-DFT-s OCC (comb-like structure as in PUCCH format 4) with OCC length 2 or 4</w:t>
            </w:r>
          </w:p>
          <w:p w:rsidR="00B60ED9" w:rsidRDefault="00C17EC6">
            <w:pPr>
              <w:numPr>
                <w:ilvl w:val="0"/>
                <w:numId w:val="28"/>
              </w:numPr>
              <w:tabs>
                <w:tab w:val="left" w:pos="420"/>
              </w:tabs>
              <w:rPr>
                <w:bCs/>
                <w:iCs/>
                <w:szCs w:val="20"/>
              </w:rPr>
            </w:pPr>
            <w:r>
              <w:rPr>
                <w:bCs/>
                <w:iCs/>
                <w:szCs w:val="20"/>
              </w:rPr>
              <w:t>FFS Combination of OCC techniques including multiplexing of 8 UEs</w:t>
            </w:r>
          </w:p>
          <w:p w:rsidR="00B60ED9" w:rsidRDefault="00C17EC6">
            <w:pPr>
              <w:numPr>
                <w:ilvl w:val="0"/>
                <w:numId w:val="28"/>
              </w:numPr>
              <w:tabs>
                <w:tab w:val="left" w:pos="420"/>
              </w:tabs>
              <w:rPr>
                <w:bCs/>
                <w:iCs/>
                <w:szCs w:val="20"/>
              </w:rPr>
            </w:pPr>
            <w:r>
              <w:rPr>
                <w:bCs/>
                <w:iCs/>
                <w:szCs w:val="20"/>
              </w:rPr>
              <w:t xml:space="preserve">FFS Use of OCC techniques with </w:t>
            </w:r>
            <w:proofErr w:type="spellStart"/>
            <w:r>
              <w:rPr>
                <w:bCs/>
                <w:iCs/>
                <w:szCs w:val="20"/>
              </w:rPr>
              <w:t>TBoMS</w:t>
            </w:r>
            <w:proofErr w:type="spellEnd"/>
          </w:p>
          <w:p w:rsidR="00B60ED9" w:rsidRDefault="00C17EC6">
            <w:pPr>
              <w:numPr>
                <w:ilvl w:val="0"/>
                <w:numId w:val="28"/>
              </w:numPr>
              <w:tabs>
                <w:tab w:val="left" w:pos="420"/>
              </w:tabs>
              <w:rPr>
                <w:bCs/>
                <w:iCs/>
                <w:szCs w:val="20"/>
                <w:lang w:eastAsia="zh-CN"/>
              </w:rPr>
            </w:pPr>
            <w:r>
              <w:rPr>
                <w:bCs/>
                <w:iCs/>
                <w:szCs w:val="20"/>
              </w:rPr>
              <w:t>FFS Backward compatibility with non-Rel-19 UEs</w:t>
            </w:r>
          </w:p>
          <w:p w:rsidR="00B60ED9" w:rsidRDefault="00C17EC6">
            <w:pPr>
              <w:rPr>
                <w:b/>
                <w:lang w:eastAsia="zh-CN"/>
              </w:rPr>
            </w:pPr>
            <w:r>
              <w:rPr>
                <w:b/>
                <w:lang w:eastAsia="zh-CN"/>
              </w:rPr>
              <w:t>Conclusion</w:t>
            </w:r>
          </w:p>
          <w:p w:rsidR="00B60ED9" w:rsidRDefault="00C17EC6">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rsidR="00B60ED9" w:rsidRDefault="00C17EC6">
            <w:pPr>
              <w:rPr>
                <w:rFonts w:eastAsiaTheme="minorEastAsia"/>
                <w:b/>
                <w:i/>
                <w:lang w:eastAsia="zh-CN"/>
              </w:rPr>
            </w:pPr>
            <w:r>
              <w:rPr>
                <w:rFonts w:hint="eastAsia"/>
                <w:lang w:eastAsia="zh-CN"/>
              </w:rPr>
              <w:t>N</w:t>
            </w:r>
            <w:r>
              <w:rPr>
                <w:lang w:eastAsia="zh-CN"/>
              </w:rPr>
              <w:t>ote: the actual gain may be less due to e.g. intra/inter cell interference.</w:t>
            </w:r>
          </w:p>
        </w:tc>
      </w:tr>
    </w:tbl>
    <w:p w:rsidR="00B60ED9" w:rsidRDefault="00C17EC6">
      <w:pPr>
        <w:spacing w:before="120"/>
        <w:rPr>
          <w:rFonts w:eastAsia="宋体"/>
          <w:lang w:eastAsia="zh-CN"/>
        </w:rPr>
      </w:pPr>
      <w:r>
        <w:rPr>
          <w:rFonts w:eastAsia="宋体" w:hint="eastAsia"/>
          <w:lang w:eastAsia="zh-CN"/>
        </w:rPr>
        <w:t xml:space="preserve">It can be seen that 3 solutions are listed in the agreement above with similar performance to support OCC length 2 or 4 with up to </w:t>
      </w:r>
      <w:proofErr w:type="gramStart"/>
      <w:r>
        <w:rPr>
          <w:rFonts w:eastAsia="宋体" w:hint="eastAsia"/>
          <w:lang w:eastAsia="zh-CN"/>
        </w:rPr>
        <w:t>2 or 4 times</w:t>
      </w:r>
      <w:proofErr w:type="gramEnd"/>
      <w:r>
        <w:rPr>
          <w:rFonts w:eastAsia="宋体" w:hint="eastAsia"/>
          <w:lang w:eastAsia="zh-CN"/>
        </w:rPr>
        <w:t xml:space="preserve"> capacity gains when repetitions are used. </w:t>
      </w:r>
      <w:r>
        <w:rPr>
          <w:rFonts w:eastAsia="宋体"/>
          <w:lang w:eastAsia="zh-CN"/>
        </w:rPr>
        <w:t>A</w:t>
      </w:r>
      <w:r>
        <w:rPr>
          <w:rFonts w:eastAsia="宋体" w:hint="eastAsia"/>
          <w:lang w:eastAsia="zh-CN"/>
        </w:rPr>
        <w:t xml:space="preserve">mong these 3 solutions, inter-slot OCC requires minimum spec effort and implementation complexity, while other 2 solutions require to change the fundamental structure of resource mapping and need to be combined with </w:t>
      </w:r>
      <w:proofErr w:type="spellStart"/>
      <w:r>
        <w:rPr>
          <w:rFonts w:eastAsia="宋体" w:hint="eastAsia"/>
          <w:lang w:eastAsia="zh-CN"/>
        </w:rPr>
        <w:t>TBoMS</w:t>
      </w:r>
      <w:proofErr w:type="spellEnd"/>
      <w:r>
        <w:rPr>
          <w:rFonts w:eastAsia="宋体" w:hint="eastAsia"/>
          <w:lang w:eastAsia="zh-CN"/>
        </w:rPr>
        <w:t xml:space="preserve">, which would delay the commercial deployment. Moreover, regarding the backward compatibility, inter-slot OCC is the only solution that allows Rel-19 UEs to be multiplexed with non-Rel-19 UEs, which makes the feature more useful.  </w:t>
      </w:r>
    </w:p>
    <w:p w:rsidR="00B60ED9" w:rsidRDefault="00C17EC6">
      <w:pPr>
        <w:spacing w:before="120"/>
        <w:rPr>
          <w:rFonts w:eastAsia="宋体"/>
          <w:lang w:eastAsia="zh-CN"/>
        </w:rPr>
      </w:pPr>
      <w:r>
        <w:rPr>
          <w:rFonts w:eastAsia="宋体"/>
          <w:lang w:eastAsia="zh-CN"/>
        </w:rPr>
        <w:t>Additionally, i</w:t>
      </w:r>
      <w:r>
        <w:rPr>
          <w:rFonts w:eastAsia="宋体" w:hint="eastAsia"/>
          <w:lang w:eastAsia="zh-CN"/>
        </w:rPr>
        <w:t xml:space="preserve">t should be noticed that </w:t>
      </w:r>
      <w:r>
        <w:rPr>
          <w:rFonts w:eastAsia="宋体"/>
          <w:lang w:eastAsia="zh-CN"/>
        </w:rPr>
        <w:t xml:space="preserve">given the different mapping rules for OCC, support one </w:t>
      </w:r>
      <w:r>
        <w:rPr>
          <w:rFonts w:eastAsia="宋体" w:hint="eastAsia"/>
          <w:lang w:eastAsia="zh-CN"/>
        </w:rPr>
        <w:t>more solution</w:t>
      </w:r>
      <w:r>
        <w:rPr>
          <w:rFonts w:eastAsia="宋体"/>
          <w:lang w:eastAsia="zh-CN"/>
        </w:rPr>
        <w:t xml:space="preserve">s or potential </w:t>
      </w:r>
      <w:r>
        <w:rPr>
          <w:rFonts w:eastAsia="宋体" w:hint="eastAsia"/>
          <w:lang w:eastAsia="zh-CN"/>
        </w:rPr>
        <w:t>combination would dramatically increase the workload and spec effort</w:t>
      </w:r>
      <w:r>
        <w:rPr>
          <w:rFonts w:eastAsia="宋体"/>
          <w:lang w:eastAsia="zh-CN"/>
        </w:rPr>
        <w:t xml:space="preserve">.  Given the limited </w:t>
      </w:r>
      <w:r>
        <w:rPr>
          <w:rFonts w:eastAsia="宋体" w:hint="eastAsia"/>
          <w:lang w:eastAsia="zh-CN"/>
        </w:rPr>
        <w:t>TU for NR NTN, it</w:t>
      </w:r>
      <w:r>
        <w:rPr>
          <w:rFonts w:eastAsia="宋体"/>
          <w:lang w:eastAsia="zh-CN"/>
        </w:rPr>
        <w:t>’</w:t>
      </w:r>
      <w:r>
        <w:rPr>
          <w:rFonts w:eastAsia="宋体" w:hint="eastAsia"/>
          <w:lang w:eastAsia="zh-CN"/>
        </w:rPr>
        <w:t>s preferred to only specify single OCC solution without combination in normative phase.</w:t>
      </w:r>
    </w:p>
    <w:p w:rsidR="00B60ED9" w:rsidRDefault="00C17EC6">
      <w:pPr>
        <w:snapToGrid w:val="0"/>
        <w:spacing w:before="120"/>
        <w:rPr>
          <w:rFonts w:eastAsiaTheme="minorEastAsia"/>
          <w:i/>
          <w:lang w:eastAsia="zh-CN"/>
        </w:rPr>
      </w:pPr>
      <w:r>
        <w:rPr>
          <w:b/>
          <w:i/>
          <w:lang w:eastAsia="zh-CN"/>
        </w:rPr>
        <w:t>Observation 5:</w:t>
      </w:r>
      <w:r>
        <w:rPr>
          <w:rFonts w:hint="eastAsia"/>
          <w:b/>
          <w:i/>
          <w:lang w:eastAsia="zh-CN"/>
        </w:rPr>
        <w:t xml:space="preserve"> </w:t>
      </w:r>
      <w:r>
        <w:rPr>
          <w:rFonts w:hint="eastAsia"/>
          <w:i/>
          <w:lang w:eastAsia="zh-CN"/>
        </w:rPr>
        <w:t>Inter-slot OCC requires minimum spec effort and implementation complexity and is the only solution that supports backward compatibility.</w:t>
      </w:r>
    </w:p>
    <w:p w:rsidR="00B60ED9" w:rsidRDefault="00C17EC6">
      <w:pPr>
        <w:snapToGrid w:val="0"/>
        <w:spacing w:before="120"/>
        <w:rPr>
          <w:i/>
          <w:lang w:eastAsia="zh-CN"/>
        </w:rPr>
      </w:pPr>
      <w:r>
        <w:rPr>
          <w:b/>
          <w:i/>
          <w:lang w:eastAsia="zh-CN"/>
        </w:rPr>
        <w:t>Proposal 3:</w:t>
      </w:r>
      <w:r>
        <w:rPr>
          <w:rFonts w:hint="eastAsia"/>
          <w:i/>
          <w:lang w:eastAsia="zh-CN"/>
        </w:rPr>
        <w:t xml:space="preserve"> </w:t>
      </w:r>
      <w:r>
        <w:rPr>
          <w:i/>
          <w:lang w:eastAsia="zh-CN"/>
        </w:rPr>
        <w:t xml:space="preserve">RAN endorse the normative phase of UL enhancement with the limited scope to specify the </w:t>
      </w:r>
      <w:r>
        <w:rPr>
          <w:rFonts w:hint="eastAsia"/>
          <w:i/>
          <w:lang w:eastAsia="zh-CN"/>
        </w:rPr>
        <w:t>inter-slot time domain OCC with OCC length 2 or 4 for NR NTN</w:t>
      </w:r>
      <w:r>
        <w:rPr>
          <w:i/>
          <w:lang w:eastAsia="zh-CN"/>
        </w:rPr>
        <w:t>.</w:t>
      </w:r>
    </w:p>
    <w:p w:rsidR="00B60ED9" w:rsidRDefault="00C17EC6">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Discussion on support of (e)</w:t>
      </w:r>
      <w:proofErr w:type="spellStart"/>
      <w:r>
        <w:rPr>
          <w:rFonts w:eastAsia="黑体" w:cs="Times New Roman"/>
          <w:kern w:val="0"/>
          <w:szCs w:val="30"/>
        </w:rPr>
        <w:t>RedCap</w:t>
      </w:r>
      <w:proofErr w:type="spellEnd"/>
      <w:r>
        <w:rPr>
          <w:rFonts w:eastAsia="黑体" w:cs="Times New Roman"/>
          <w:kern w:val="0"/>
          <w:szCs w:val="30"/>
        </w:rPr>
        <w:t xml:space="preserve"> UEs with NR-NTN</w:t>
      </w:r>
    </w:p>
    <w:p w:rsidR="00B60ED9" w:rsidRDefault="00C17EC6">
      <w:pPr>
        <w:rPr>
          <w:rFonts w:eastAsia="宋体"/>
          <w:lang w:eastAsia="zh-CN"/>
        </w:rPr>
      </w:pPr>
      <w:r>
        <w:rPr>
          <w:rFonts w:eastAsia="宋体"/>
          <w:lang w:eastAsia="zh-CN"/>
        </w:rPr>
        <w:t>As highlighted in the scope, regarding this topic, only the essential changes can be considered.</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widowControl w:val="0"/>
              <w:numPr>
                <w:ilvl w:val="0"/>
                <w:numId w:val="18"/>
              </w:numPr>
              <w:overflowPunct w:val="0"/>
              <w:autoSpaceDE w:val="0"/>
              <w:autoSpaceDN w:val="0"/>
              <w:adjustRightInd w:val="0"/>
              <w:spacing w:after="0" w:line="276" w:lineRule="auto"/>
              <w:contextualSpacing/>
              <w:jc w:val="left"/>
              <w:textAlignment w:val="baseline"/>
              <w:rPr>
                <w:rFonts w:eastAsia="Calibri"/>
                <w:szCs w:val="20"/>
                <w:highlight w:val="yellow"/>
                <w:lang w:eastAsia="zh-CN"/>
              </w:rPr>
            </w:pPr>
            <w:r>
              <w:rPr>
                <w:rFonts w:eastAsia="Calibri"/>
                <w:szCs w:val="20"/>
                <w:highlight w:val="yellow"/>
                <w:lang w:eastAsia="zh-CN"/>
              </w:rPr>
              <w:t xml:space="preserve">For HD-FDD </w:t>
            </w:r>
            <w:proofErr w:type="spellStart"/>
            <w:r>
              <w:rPr>
                <w:rFonts w:eastAsia="Calibri"/>
                <w:szCs w:val="20"/>
                <w:highlight w:val="yellow"/>
                <w:lang w:eastAsia="zh-CN"/>
              </w:rPr>
              <w:t>RedCap</w:t>
            </w:r>
            <w:proofErr w:type="spellEnd"/>
            <w:r>
              <w:rPr>
                <w:rFonts w:eastAsia="Calibri"/>
                <w:szCs w:val="20"/>
                <w:highlight w:val="yellow"/>
                <w:lang w:eastAsia="zh-CN"/>
              </w:rPr>
              <w:t xml:space="preserve"> UEs and </w:t>
            </w:r>
            <w:proofErr w:type="spellStart"/>
            <w:r>
              <w:rPr>
                <w:rFonts w:eastAsia="Calibri"/>
                <w:szCs w:val="20"/>
                <w:highlight w:val="yellow"/>
                <w:lang w:eastAsia="zh-CN"/>
              </w:rPr>
              <w:t>eRedCap</w:t>
            </w:r>
            <w:proofErr w:type="spellEnd"/>
            <w:r>
              <w:rPr>
                <w:rFonts w:eastAsia="Calibri"/>
                <w:szCs w:val="20"/>
                <w:highlight w:val="yellow"/>
                <w:lang w:eastAsia="zh-CN"/>
              </w:rPr>
              <w:t xml:space="preserve"> UEs, check whether any essential changes are needed for their support (i.e. focusing on HD collision rules) by end of Q2/2024 [RAN1]</w:t>
            </w:r>
          </w:p>
        </w:tc>
      </w:tr>
    </w:tbl>
    <w:p w:rsidR="00B60ED9" w:rsidRDefault="00C17EC6">
      <w:pPr>
        <w:spacing w:before="120"/>
        <w:rPr>
          <w:szCs w:val="20"/>
        </w:rPr>
      </w:pPr>
      <w:r>
        <w:rPr>
          <w:rFonts w:eastAsia="宋体"/>
          <w:lang w:eastAsia="zh-CN"/>
        </w:rPr>
        <w:t>Based on the study in RAN1, following conclusions are made in RAN1#117:</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spacing w:after="160" w:line="254" w:lineRule="auto"/>
              <w:contextualSpacing/>
              <w:rPr>
                <w:b/>
                <w:szCs w:val="20"/>
              </w:rPr>
            </w:pPr>
            <w:bookmarkStart w:id="5" w:name="_Hlk152184201"/>
            <w:r>
              <w:rPr>
                <w:b/>
                <w:szCs w:val="20"/>
              </w:rPr>
              <w:t>Conclusion</w:t>
            </w:r>
          </w:p>
          <w:p w:rsidR="00B60ED9" w:rsidRDefault="00C17EC6">
            <w:pPr>
              <w:spacing w:after="160" w:line="254" w:lineRule="auto"/>
              <w:contextualSpacing/>
              <w:rPr>
                <w:szCs w:val="20"/>
              </w:rPr>
            </w:pPr>
            <w:r>
              <w:rPr>
                <w:szCs w:val="20"/>
              </w:rPr>
              <w:t>F</w:t>
            </w:r>
            <w:r>
              <w:rPr>
                <w:rFonts w:hint="eastAsia"/>
                <w:szCs w:val="20"/>
              </w:rPr>
              <w:t>or Rel-19</w:t>
            </w:r>
            <w:r>
              <w:rPr>
                <w:szCs w:val="20"/>
              </w:rPr>
              <w:t xml:space="preserve"> HD-FDD </w:t>
            </w:r>
            <w:proofErr w:type="spellStart"/>
            <w:r>
              <w:rPr>
                <w:szCs w:val="20"/>
              </w:rPr>
              <w:t>RedCap</w:t>
            </w:r>
            <w:proofErr w:type="spellEnd"/>
            <w:r>
              <w:rPr>
                <w:szCs w:val="20"/>
              </w:rPr>
              <w:t>/</w:t>
            </w:r>
            <w:proofErr w:type="spellStart"/>
            <w:r>
              <w:rPr>
                <w:szCs w:val="20"/>
              </w:rPr>
              <w:t>eRedCap</w:t>
            </w:r>
            <w:proofErr w:type="spellEnd"/>
            <w:r>
              <w:rPr>
                <w:szCs w:val="20"/>
              </w:rPr>
              <w:t xml:space="preserve"> UE in </w:t>
            </w:r>
            <w:r>
              <w:rPr>
                <w:rFonts w:hint="eastAsia"/>
                <w:szCs w:val="20"/>
              </w:rPr>
              <w:t>N</w:t>
            </w:r>
            <w:r>
              <w:rPr>
                <w:szCs w:val="20"/>
              </w:rPr>
              <w:t xml:space="preserve">TN, the issues caused by </w:t>
            </w:r>
            <w:r>
              <w:rPr>
                <w:rFonts w:hint="eastAsia"/>
                <w:szCs w:val="20"/>
              </w:rPr>
              <w:t xml:space="preserve">TA mismatch between </w:t>
            </w:r>
            <w:r>
              <w:rPr>
                <w:szCs w:val="20"/>
              </w:rPr>
              <w:t>actual</w:t>
            </w:r>
            <w:r>
              <w:rPr>
                <w:rFonts w:hint="eastAsia"/>
                <w:szCs w:val="20"/>
              </w:rPr>
              <w:t xml:space="preserve"> TA used by the UE and assumed TA for the UE at the gNB</w:t>
            </w:r>
            <w:r>
              <w:rPr>
                <w:szCs w:val="20"/>
              </w:rPr>
              <w:t xml:space="preserve"> should be mitigated for collision cases 3 and 4.</w:t>
            </w:r>
          </w:p>
          <w:p w:rsidR="00B60ED9" w:rsidRDefault="00C17EC6">
            <w:pPr>
              <w:numPr>
                <w:ilvl w:val="0"/>
                <w:numId w:val="29"/>
              </w:numPr>
              <w:spacing w:after="160" w:line="254" w:lineRule="auto"/>
              <w:contextualSpacing/>
              <w:rPr>
                <w:szCs w:val="20"/>
              </w:rPr>
            </w:pPr>
            <w:r>
              <w:rPr>
                <w:rFonts w:hint="eastAsia"/>
                <w:szCs w:val="20"/>
              </w:rPr>
              <w:t>N</w:t>
            </w:r>
            <w:r>
              <w:rPr>
                <w:szCs w:val="20"/>
              </w:rPr>
              <w:t>ote: further discussion on other cases is not precluded</w:t>
            </w:r>
          </w:p>
          <w:p w:rsidR="00B60ED9" w:rsidRDefault="00C17EC6">
            <w:pPr>
              <w:spacing w:after="160" w:line="254" w:lineRule="auto"/>
              <w:contextualSpacing/>
              <w:rPr>
                <w:b/>
                <w:szCs w:val="20"/>
              </w:rPr>
            </w:pPr>
            <w:r>
              <w:rPr>
                <w:b/>
                <w:szCs w:val="20"/>
              </w:rPr>
              <w:t>Conclusion</w:t>
            </w:r>
          </w:p>
          <w:p w:rsidR="00B60ED9" w:rsidRDefault="00C17EC6">
            <w:pPr>
              <w:rPr>
                <w:rFonts w:eastAsia="宋体"/>
                <w:b/>
              </w:rPr>
            </w:pPr>
            <w:r>
              <w:rPr>
                <w:rFonts w:cs="Times" w:hint="eastAsia"/>
              </w:rPr>
              <w:t xml:space="preserve">For </w:t>
            </w:r>
            <w:r>
              <w:rPr>
                <w:rFonts w:cs="Times" w:hint="eastAsia"/>
                <w:color w:val="000000"/>
              </w:rPr>
              <w:t>collision</w:t>
            </w:r>
            <w:r>
              <w:rPr>
                <w:rFonts w:hint="eastAsia"/>
              </w:rPr>
              <w:t xml:space="preserve"> </w:t>
            </w:r>
            <w:r>
              <w:rPr>
                <w:rFonts w:cs="Times" w:hint="eastAsia"/>
              </w:rPr>
              <w:t xml:space="preserve">cases 1, 2, 5 and 6, </w:t>
            </w:r>
            <w:r>
              <w:rPr>
                <w:rFonts w:eastAsia="宋体" w:cs="Times" w:hint="eastAsia"/>
                <w:highlight w:val="yellow"/>
              </w:rPr>
              <w:t xml:space="preserve">the existing priority rules </w:t>
            </w:r>
            <w:r>
              <w:rPr>
                <w:rFonts w:eastAsia="宋体"/>
                <w:highlight w:val="yellow"/>
              </w:rPr>
              <w:t>can be</w:t>
            </w:r>
            <w:r>
              <w:rPr>
                <w:rFonts w:eastAsia="宋体" w:hint="eastAsia"/>
                <w:highlight w:val="yellow"/>
              </w:rPr>
              <w:t xml:space="preserve"> </w:t>
            </w:r>
            <w:r>
              <w:rPr>
                <w:rFonts w:eastAsia="宋体" w:cs="Times" w:hint="eastAsia"/>
                <w:highlight w:val="yellow"/>
              </w:rPr>
              <w:t>reused</w:t>
            </w:r>
            <w:r>
              <w:rPr>
                <w:rFonts w:eastAsia="宋体" w:cs="Times" w:hint="eastAsia"/>
              </w:rPr>
              <w:t xml:space="preserve"> </w:t>
            </w:r>
            <w:r>
              <w:rPr>
                <w:rFonts w:eastAsia="宋体"/>
                <w:bCs/>
              </w:rPr>
              <w:t>for a HD-FDD (e)</w:t>
            </w:r>
            <w:proofErr w:type="spellStart"/>
            <w:r>
              <w:rPr>
                <w:rFonts w:eastAsia="宋体"/>
                <w:bCs/>
              </w:rPr>
              <w:t>RedCap</w:t>
            </w:r>
            <w:proofErr w:type="spellEnd"/>
            <w:r>
              <w:rPr>
                <w:rFonts w:eastAsia="宋体"/>
                <w:bCs/>
              </w:rPr>
              <w:t xml:space="preserve"> UE</w:t>
            </w:r>
            <w:r>
              <w:rPr>
                <w:rFonts w:eastAsia="宋体" w:hint="eastAsia"/>
                <w:bCs/>
              </w:rPr>
              <w:t xml:space="preserve"> </w:t>
            </w:r>
            <w:r>
              <w:rPr>
                <w:rFonts w:eastAsia="宋体" w:cs="Times" w:hint="eastAsia"/>
                <w:bCs/>
              </w:rPr>
              <w:t>in NTN</w:t>
            </w:r>
            <w:r>
              <w:rPr>
                <w:rFonts w:eastAsia="宋体" w:cs="Times" w:hint="eastAsia"/>
              </w:rPr>
              <w:t>.</w:t>
            </w:r>
            <w:r>
              <w:rPr>
                <w:rFonts w:eastAsia="宋体" w:hint="eastAsia"/>
                <w:b/>
              </w:rPr>
              <w:t xml:space="preserve"> </w:t>
            </w:r>
          </w:p>
        </w:tc>
      </w:tr>
    </w:tbl>
    <w:bookmarkEnd w:id="5"/>
    <w:p w:rsidR="00B60ED9" w:rsidRDefault="00C17EC6">
      <w:pPr>
        <w:snapToGrid w:val="0"/>
        <w:spacing w:before="120"/>
        <w:rPr>
          <w:rFonts w:eastAsiaTheme="minorEastAsia"/>
          <w:lang w:eastAsia="zh-CN"/>
        </w:rPr>
      </w:pPr>
      <w:r>
        <w:rPr>
          <w:rFonts w:eastAsiaTheme="minorEastAsia" w:hint="eastAsia"/>
          <w:lang w:eastAsia="zh-CN"/>
        </w:rPr>
        <w:t>F</w:t>
      </w:r>
      <w:r>
        <w:rPr>
          <w:rFonts w:eastAsiaTheme="minorEastAsia"/>
          <w:lang w:eastAsia="zh-CN"/>
        </w:rPr>
        <w:t>rom the conclusions, it can be observed that the intention is to further optimize the error cases (i.e., Case-3 and Case-4) to potential improve the resource utilization compared to the TN according to following observation.</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rPr>
                <w:rFonts w:eastAsia="宋体"/>
                <w:b/>
                <w:color w:val="000000"/>
                <w:lang w:eastAsia="zh-CN"/>
              </w:rPr>
            </w:pPr>
            <w:r>
              <w:rPr>
                <w:rFonts w:eastAsia="宋体" w:hint="eastAsia"/>
                <w:b/>
                <w:color w:val="000000"/>
                <w:lang w:eastAsia="zh-CN"/>
              </w:rPr>
              <w:t>Observation</w:t>
            </w:r>
          </w:p>
          <w:p w:rsidR="00B60ED9" w:rsidRDefault="00C17EC6">
            <w:pPr>
              <w:rPr>
                <w:rFonts w:eastAsiaTheme="minorEastAsia"/>
                <w:lang w:eastAsia="zh-CN"/>
              </w:rPr>
            </w:pPr>
            <w:r>
              <w:rPr>
                <w:rFonts w:eastAsia="宋体" w:hint="eastAsia"/>
                <w:lang w:eastAsia="zh-CN"/>
              </w:rPr>
              <w:t xml:space="preserve">To avoid the </w:t>
            </w:r>
            <w:r>
              <w:rPr>
                <w:rFonts w:eastAsia="宋体"/>
                <w:lang w:eastAsia="zh-CN"/>
              </w:rPr>
              <w:t>occurrence</w:t>
            </w:r>
            <w:r>
              <w:rPr>
                <w:rFonts w:eastAsia="宋体" w:hint="eastAsia"/>
                <w:lang w:eastAsia="zh-CN"/>
              </w:rPr>
              <w:t xml:space="preserve"> of error cases 3 and 4 through network scheduling, </w:t>
            </w:r>
            <w:r>
              <w:t xml:space="preserve">there </w:t>
            </w:r>
            <w:r>
              <w:rPr>
                <w:rFonts w:eastAsia="宋体" w:hint="eastAsia"/>
                <w:lang w:eastAsia="zh-CN"/>
              </w:rPr>
              <w:t>are</w:t>
            </w:r>
            <w:r>
              <w:t xml:space="preserve"> </w:t>
            </w:r>
            <w:r>
              <w:rPr>
                <w:highlight w:val="yellow"/>
              </w:rPr>
              <w:t>less resources available</w:t>
            </w:r>
            <w:r>
              <w:t xml:space="preserve"> for </w:t>
            </w:r>
            <w:r>
              <w:rPr>
                <w:rFonts w:eastAsia="宋体" w:hint="eastAsia"/>
                <w:lang w:eastAsia="zh-CN"/>
              </w:rPr>
              <w:t>a</w:t>
            </w:r>
            <w:r>
              <w:t xml:space="preserve"> scheduled HD-FDD </w:t>
            </w:r>
            <w:proofErr w:type="spellStart"/>
            <w:r>
              <w:t>RedCap</w:t>
            </w:r>
            <w:proofErr w:type="spellEnd"/>
            <w:r>
              <w:t>/</w:t>
            </w:r>
            <w:proofErr w:type="spellStart"/>
            <w:r>
              <w:t>eRedCap</w:t>
            </w:r>
            <w:proofErr w:type="spellEnd"/>
            <w:r>
              <w:t xml:space="preserve"> UE in NTN compared to TN</w:t>
            </w:r>
            <w:r>
              <w:rPr>
                <w:rFonts w:eastAsia="宋体" w:hint="eastAsia"/>
                <w:lang w:eastAsia="zh-CN"/>
              </w:rPr>
              <w:t xml:space="preserve"> when there is </w:t>
            </w:r>
            <w:r>
              <w:rPr>
                <w:rFonts w:hint="eastAsia"/>
                <w:kern w:val="2"/>
                <w:lang w:eastAsia="zh-CN"/>
              </w:rPr>
              <w:t xml:space="preserve">TA mismatch between </w:t>
            </w:r>
            <w:r>
              <w:rPr>
                <w:kern w:val="2"/>
                <w:lang w:eastAsia="zh-CN"/>
              </w:rPr>
              <w:t>actual</w:t>
            </w:r>
            <w:r>
              <w:rPr>
                <w:rFonts w:hint="eastAsia"/>
                <w:kern w:val="2"/>
                <w:lang w:eastAsia="zh-CN"/>
              </w:rPr>
              <w:t xml:space="preserve"> TA used by </w:t>
            </w:r>
            <w:r>
              <w:rPr>
                <w:rFonts w:eastAsia="宋体" w:hint="eastAsia"/>
                <w:kern w:val="2"/>
                <w:lang w:eastAsia="zh-CN"/>
              </w:rPr>
              <w:t xml:space="preserve">the </w:t>
            </w:r>
            <w:r>
              <w:rPr>
                <w:rFonts w:hint="eastAsia"/>
                <w:kern w:val="2"/>
                <w:lang w:eastAsia="zh-CN"/>
              </w:rPr>
              <w:t xml:space="preserve">UE and assumed TA </w:t>
            </w:r>
            <w:r>
              <w:rPr>
                <w:rFonts w:eastAsia="宋体" w:hint="eastAsia"/>
                <w:kern w:val="2"/>
                <w:lang w:eastAsia="zh-CN"/>
              </w:rPr>
              <w:t xml:space="preserve">for the UE </w:t>
            </w:r>
            <w:r>
              <w:rPr>
                <w:rFonts w:hint="eastAsia"/>
                <w:kern w:val="2"/>
                <w:lang w:eastAsia="zh-CN"/>
              </w:rPr>
              <w:t>at the gNB</w:t>
            </w:r>
            <w:r>
              <w:rPr>
                <w:rFonts w:eastAsia="宋体" w:hint="eastAsia"/>
                <w:lang w:eastAsia="zh-CN"/>
              </w:rPr>
              <w:t xml:space="preserve">. </w:t>
            </w:r>
          </w:p>
        </w:tc>
      </w:tr>
    </w:tbl>
    <w:p w:rsidR="00B60ED9" w:rsidRDefault="00C17EC6">
      <w:pPr>
        <w:snapToGrid w:val="0"/>
        <w:spacing w:before="120"/>
        <w:rPr>
          <w:rFonts w:eastAsiaTheme="minorEastAsia"/>
          <w:lang w:eastAsia="zh-CN"/>
        </w:rPr>
      </w:pPr>
      <w:r>
        <w:rPr>
          <w:rFonts w:eastAsiaTheme="minorEastAsia"/>
          <w:lang w:eastAsia="zh-CN"/>
        </w:rPr>
        <w:lastRenderedPageBreak/>
        <w:t>In general, given the large RTT in NTN case, the benefits for such enhancement is still limited and potential changes on the error cases will introduce more complexity on the UE and gNB behavior. For all other cases, as mentioned above, the legacy rules are still applicable.</w:t>
      </w:r>
    </w:p>
    <w:p w:rsidR="00B60ED9" w:rsidRDefault="00C17EC6">
      <w:pPr>
        <w:snapToGrid w:val="0"/>
        <w:spacing w:before="120"/>
        <w:rPr>
          <w:rFonts w:eastAsiaTheme="minorEastAsia"/>
          <w:i/>
          <w:lang w:eastAsia="zh-CN"/>
        </w:rPr>
      </w:pPr>
      <w:r>
        <w:rPr>
          <w:b/>
          <w:i/>
          <w:lang w:eastAsia="zh-CN"/>
        </w:rPr>
        <w:t>Observation 6:</w:t>
      </w:r>
      <w:r>
        <w:rPr>
          <w:rFonts w:hint="eastAsia"/>
          <w:b/>
          <w:i/>
          <w:lang w:eastAsia="zh-CN"/>
        </w:rPr>
        <w:t xml:space="preserve"> </w:t>
      </w:r>
      <w:r>
        <w:rPr>
          <w:i/>
          <w:lang w:eastAsia="zh-CN"/>
        </w:rPr>
        <w:t>The benefits of the enhancements on error cases are limited.</w:t>
      </w:r>
    </w:p>
    <w:p w:rsidR="00B60ED9" w:rsidRDefault="00C17EC6">
      <w:pPr>
        <w:snapToGrid w:val="0"/>
        <w:spacing w:before="120"/>
        <w:rPr>
          <w:rFonts w:eastAsia="宋体"/>
          <w:lang w:eastAsia="zh-CN"/>
        </w:rPr>
      </w:pPr>
      <w:r>
        <w:rPr>
          <w:rFonts w:eastAsiaTheme="minorEastAsia"/>
          <w:lang w:eastAsia="zh-CN"/>
        </w:rPr>
        <w:t>If eventually, additional normative works can be considered to pursue the performance improvement, given the limited TU, the RAN1 should strive to minimize the spec efforts with limited workload. For example, based on the following observation, mandating the support on the legacy TA reporting mechanism with potential improvement on the reporting granularity, can be considered.</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rPr>
                <w:rFonts w:eastAsia="宋体"/>
                <w:b/>
                <w:lang w:eastAsia="zh-CN"/>
              </w:rPr>
            </w:pPr>
            <w:r>
              <w:rPr>
                <w:rFonts w:eastAsia="宋体"/>
                <w:b/>
                <w:lang w:eastAsia="zh-CN"/>
              </w:rPr>
              <w:t>Observation</w:t>
            </w:r>
          </w:p>
          <w:p w:rsidR="00B60ED9" w:rsidRDefault="00C17EC6">
            <w:pPr>
              <w:rPr>
                <w:rFonts w:eastAsia="宋体"/>
                <w:lang w:eastAsia="zh-CN"/>
              </w:rPr>
            </w:pPr>
            <w:r>
              <w:rPr>
                <w:rFonts w:eastAsia="宋体" w:hint="eastAsia"/>
                <w:lang w:eastAsia="zh-CN"/>
              </w:rPr>
              <w:t xml:space="preserve">TA reporting </w:t>
            </w:r>
            <w:r>
              <w:rPr>
                <w:rFonts w:eastAsia="宋体"/>
                <w:lang w:eastAsia="zh-CN"/>
              </w:rPr>
              <w:t>is</w:t>
            </w:r>
            <w:r>
              <w:rPr>
                <w:rFonts w:eastAsia="宋体" w:hint="eastAsia"/>
                <w:lang w:eastAsia="zh-CN"/>
              </w:rPr>
              <w:t xml:space="preserve"> beneficial to </w:t>
            </w:r>
            <w:r>
              <w:rPr>
                <w:rFonts w:eastAsia="宋体"/>
                <w:lang w:eastAsia="zh-CN"/>
              </w:rPr>
              <w:t>mitigate</w:t>
            </w:r>
            <w:r>
              <w:rPr>
                <w:rFonts w:eastAsia="宋体" w:hint="eastAsia"/>
                <w:lang w:eastAsia="zh-CN"/>
              </w:rPr>
              <w:t xml:space="preserve"> the TA mismatch between </w:t>
            </w:r>
            <w:r>
              <w:rPr>
                <w:rFonts w:eastAsia="宋体"/>
                <w:lang w:eastAsia="zh-CN"/>
              </w:rPr>
              <w:t>actual</w:t>
            </w:r>
            <w:r>
              <w:rPr>
                <w:rFonts w:eastAsia="宋体" w:hint="eastAsia"/>
                <w:lang w:eastAsia="zh-CN"/>
              </w:rPr>
              <w:t xml:space="preserve"> TA used by the UE and assumed TA for the UE at the </w:t>
            </w:r>
            <w:proofErr w:type="spellStart"/>
            <w:r>
              <w:rPr>
                <w:rFonts w:eastAsia="宋体" w:hint="eastAsia"/>
                <w:lang w:eastAsia="zh-CN"/>
              </w:rPr>
              <w:t>gNB</w:t>
            </w:r>
            <w:proofErr w:type="spellEnd"/>
            <w:r>
              <w:rPr>
                <w:rFonts w:eastAsia="宋体" w:hint="eastAsia"/>
                <w:lang w:eastAsia="zh-CN"/>
              </w:rPr>
              <w:t xml:space="preserve"> for </w:t>
            </w:r>
            <w:r>
              <w:rPr>
                <w:rFonts w:eastAsia="宋体"/>
                <w:lang w:eastAsia="zh-CN"/>
              </w:rPr>
              <w:t xml:space="preserve">HD-FDD </w:t>
            </w:r>
            <w:proofErr w:type="spellStart"/>
            <w:r>
              <w:rPr>
                <w:rFonts w:eastAsia="宋体"/>
                <w:lang w:eastAsia="zh-CN"/>
              </w:rPr>
              <w:t>RedCap</w:t>
            </w:r>
            <w:proofErr w:type="spellEnd"/>
            <w:r>
              <w:rPr>
                <w:rFonts w:eastAsia="宋体"/>
                <w:lang w:eastAsia="zh-CN"/>
              </w:rPr>
              <w:t>/</w:t>
            </w:r>
            <w:proofErr w:type="spellStart"/>
            <w:r>
              <w:rPr>
                <w:rFonts w:eastAsia="宋体"/>
                <w:lang w:eastAsia="zh-CN"/>
              </w:rPr>
              <w:t>eRedCap</w:t>
            </w:r>
            <w:proofErr w:type="spellEnd"/>
            <w:r>
              <w:rPr>
                <w:rFonts w:eastAsia="宋体"/>
                <w:lang w:eastAsia="zh-CN"/>
              </w:rPr>
              <w:t xml:space="preserve"> UE in </w:t>
            </w:r>
            <w:r>
              <w:rPr>
                <w:rFonts w:eastAsia="宋体" w:hint="eastAsia"/>
                <w:lang w:eastAsia="zh-CN"/>
              </w:rPr>
              <w:t>N</w:t>
            </w:r>
            <w:r>
              <w:rPr>
                <w:rFonts w:eastAsia="宋体"/>
                <w:lang w:eastAsia="zh-CN"/>
              </w:rPr>
              <w:t>TN</w:t>
            </w:r>
            <w:r>
              <w:rPr>
                <w:rFonts w:eastAsia="宋体" w:hint="eastAsia"/>
                <w:lang w:eastAsia="zh-CN"/>
              </w:rPr>
              <w:t xml:space="preserve"> from RAN1 perspective.</w:t>
            </w:r>
          </w:p>
          <w:p w:rsidR="00B60ED9" w:rsidRDefault="00C17EC6">
            <w:pPr>
              <w:numPr>
                <w:ilvl w:val="0"/>
                <w:numId w:val="30"/>
              </w:numPr>
              <w:rPr>
                <w:rFonts w:eastAsia="宋体"/>
                <w:lang w:eastAsia="zh-CN"/>
              </w:rPr>
            </w:pPr>
            <w:r>
              <w:rPr>
                <w:rFonts w:eastAsia="宋体" w:hint="eastAsia"/>
                <w:lang w:eastAsia="zh-CN"/>
              </w:rPr>
              <w:t>N</w:t>
            </w:r>
            <w:r>
              <w:rPr>
                <w:rFonts w:eastAsia="宋体"/>
                <w:lang w:eastAsia="zh-CN"/>
              </w:rPr>
              <w:t>ote: complexity, power consumption and signaling overhead impact of TA reporting for (e)redcap UEs was not investigated in this work item</w:t>
            </w:r>
          </w:p>
        </w:tc>
      </w:tr>
    </w:tbl>
    <w:p w:rsidR="00B60ED9" w:rsidRDefault="00C17EC6">
      <w:pPr>
        <w:snapToGrid w:val="0"/>
        <w:spacing w:before="120"/>
        <w:rPr>
          <w:rFonts w:eastAsiaTheme="minorEastAsia"/>
          <w:i/>
          <w:lang w:eastAsia="zh-CN"/>
        </w:rPr>
      </w:pPr>
      <w:r>
        <w:rPr>
          <w:b/>
          <w:i/>
          <w:lang w:eastAsia="zh-CN"/>
        </w:rPr>
        <w:t>Observation 7:</w:t>
      </w:r>
      <w:r>
        <w:rPr>
          <w:rFonts w:hint="eastAsia"/>
          <w:b/>
          <w:i/>
          <w:lang w:eastAsia="zh-CN"/>
        </w:rPr>
        <w:t xml:space="preserve"> </w:t>
      </w:r>
      <w:r>
        <w:rPr>
          <w:i/>
          <w:lang w:eastAsia="zh-CN"/>
        </w:rPr>
        <w:t>Mandating the support of TA reporting is beneficial to mitigate the TA mismatch, which can essentially resolve the issues caused by TA mismatch for all collision case.</w:t>
      </w:r>
    </w:p>
    <w:p w:rsidR="00B60ED9" w:rsidRDefault="00C17EC6">
      <w:pPr>
        <w:snapToGrid w:val="0"/>
        <w:spacing w:before="120"/>
        <w:rPr>
          <w:i/>
          <w:lang w:eastAsia="zh-CN"/>
        </w:rPr>
      </w:pPr>
      <w:r>
        <w:rPr>
          <w:b/>
          <w:i/>
          <w:szCs w:val="20"/>
          <w:lang w:eastAsia="zh-CN"/>
        </w:rPr>
        <w:t>Proposal 4:</w:t>
      </w:r>
      <w:r>
        <w:rPr>
          <w:rFonts w:hint="eastAsia"/>
          <w:b/>
          <w:i/>
          <w:szCs w:val="20"/>
          <w:lang w:eastAsia="zh-CN"/>
        </w:rPr>
        <w:t xml:space="preserve"> </w:t>
      </w:r>
      <w:r>
        <w:rPr>
          <w:i/>
          <w:szCs w:val="20"/>
          <w:lang w:eastAsia="zh-CN"/>
        </w:rPr>
        <w:t xml:space="preserve">If TU is available, </w:t>
      </w:r>
      <w:r>
        <w:rPr>
          <w:i/>
          <w:lang w:eastAsia="zh-CN"/>
        </w:rPr>
        <w:t>RAN can endorse the normative phase to support the (e)</w:t>
      </w:r>
      <w:proofErr w:type="spellStart"/>
      <w:r>
        <w:rPr>
          <w:i/>
          <w:lang w:eastAsia="zh-CN"/>
        </w:rPr>
        <w:t>RedCap</w:t>
      </w:r>
      <w:proofErr w:type="spellEnd"/>
      <w:r>
        <w:rPr>
          <w:i/>
          <w:lang w:eastAsia="zh-CN"/>
        </w:rPr>
        <w:t xml:space="preserve"> UEs UL in NTN with the following limited scope:</w:t>
      </w:r>
    </w:p>
    <w:p w:rsidR="00B60ED9" w:rsidRDefault="00211A35">
      <w:pPr>
        <w:pStyle w:val="af9"/>
        <w:numPr>
          <w:ilvl w:val="0"/>
          <w:numId w:val="31"/>
        </w:numPr>
        <w:snapToGrid w:val="0"/>
        <w:spacing w:before="120"/>
        <w:ind w:firstLineChars="0"/>
        <w:rPr>
          <w:rFonts w:ascii="Times New Roman" w:hAnsi="Times New Roman"/>
          <w:i/>
          <w:sz w:val="20"/>
          <w:szCs w:val="20"/>
        </w:rPr>
      </w:pPr>
      <w:r>
        <w:rPr>
          <w:rFonts w:ascii="Times New Roman" w:hAnsi="Times New Roman"/>
          <w:i/>
          <w:sz w:val="20"/>
          <w:szCs w:val="20"/>
        </w:rPr>
        <w:t>Mandate</w:t>
      </w:r>
      <w:r w:rsidR="00C17EC6">
        <w:rPr>
          <w:rFonts w:ascii="Times New Roman" w:hAnsi="Times New Roman"/>
          <w:i/>
          <w:sz w:val="20"/>
          <w:szCs w:val="20"/>
        </w:rPr>
        <w:t xml:space="preserve"> the legacy (pre-Rel-19) TA reporting mechanism as the mandatory UE feature for Rel-19 </w:t>
      </w:r>
      <w:r w:rsidR="00C17EC6">
        <w:rPr>
          <w:rFonts w:ascii="Times New Roman" w:eastAsia="Times New Roman" w:hAnsi="Times New Roman"/>
          <w:i/>
          <w:kern w:val="0"/>
          <w:sz w:val="20"/>
          <w:szCs w:val="20"/>
        </w:rPr>
        <w:t>(e)</w:t>
      </w:r>
      <w:proofErr w:type="spellStart"/>
      <w:r w:rsidR="00C17EC6">
        <w:rPr>
          <w:rFonts w:ascii="Times New Roman" w:eastAsia="Times New Roman" w:hAnsi="Times New Roman"/>
          <w:i/>
          <w:kern w:val="0"/>
          <w:sz w:val="20"/>
          <w:szCs w:val="20"/>
        </w:rPr>
        <w:t>RedCap</w:t>
      </w:r>
      <w:proofErr w:type="spellEnd"/>
      <w:r w:rsidR="00C17EC6">
        <w:rPr>
          <w:rFonts w:ascii="Times New Roman" w:eastAsia="Times New Roman" w:hAnsi="Times New Roman"/>
          <w:i/>
          <w:kern w:val="0"/>
          <w:sz w:val="20"/>
          <w:szCs w:val="20"/>
        </w:rPr>
        <w:t xml:space="preserve"> UEs</w:t>
      </w:r>
    </w:p>
    <w:p w:rsidR="00B60ED9" w:rsidRDefault="00C17EC6">
      <w:pPr>
        <w:pStyle w:val="af9"/>
        <w:numPr>
          <w:ilvl w:val="1"/>
          <w:numId w:val="31"/>
        </w:numPr>
        <w:snapToGrid w:val="0"/>
        <w:spacing w:before="120"/>
        <w:ind w:firstLineChars="0"/>
      </w:pPr>
      <w:r>
        <w:rPr>
          <w:rFonts w:ascii="Times New Roman" w:hAnsi="Times New Roman"/>
          <w:i/>
          <w:sz w:val="20"/>
          <w:szCs w:val="20"/>
        </w:rPr>
        <w:t xml:space="preserve"> Enhancement on the granularity for reported TA can be considered.</w:t>
      </w:r>
    </w:p>
    <w:p w:rsidR="00B60ED9" w:rsidRDefault="00C17EC6">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 xml:space="preserve">Discussion on </w:t>
      </w:r>
      <w:r>
        <w:rPr>
          <w:rFonts w:eastAsia="黑体" w:cs="Times New Roman" w:hint="eastAsia"/>
          <w:kern w:val="0"/>
          <w:szCs w:val="30"/>
        </w:rPr>
        <w:t>satellite switch with resync for regenerative payload</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There has been </w:t>
      </w:r>
      <w:r>
        <w:rPr>
          <w:rFonts w:ascii="Times New Roman" w:eastAsiaTheme="minorEastAsia" w:hAnsi="Times New Roman" w:hint="eastAsia"/>
          <w:kern w:val="0"/>
          <w:sz w:val="20"/>
          <w:szCs w:val="24"/>
        </w:rPr>
        <w:t>discussion in RAN2#125bis [3] and #126 [4] on whether to support satellite switch with re-sync for regenerative payload but no consensus has been reached.</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The main concern is on the security handling and the required coordination between two </w:t>
      </w:r>
      <w:proofErr w:type="spellStart"/>
      <w:r>
        <w:rPr>
          <w:rFonts w:ascii="Times New Roman" w:eastAsiaTheme="minorEastAsia" w:hAnsi="Times New Roman" w:hint="eastAsia"/>
          <w:kern w:val="0"/>
          <w:sz w:val="20"/>
          <w:szCs w:val="24"/>
        </w:rPr>
        <w:t>gNBs</w:t>
      </w:r>
      <w:proofErr w:type="spellEnd"/>
      <w:r>
        <w:rPr>
          <w:rFonts w:ascii="Times New Roman" w:eastAsiaTheme="minorEastAsia" w:hAnsi="Times New Roman" w:hint="eastAsia"/>
          <w:kern w:val="0"/>
          <w:sz w:val="20"/>
          <w:szCs w:val="24"/>
        </w:rPr>
        <w:t xml:space="preserve"> on board, which may require further discussion in SA3 and RAN3. But the benefits of supporting satellite switch with re-sync to reduce signaling overhead in regenerative payload are still similar as that in transparent payload.</w:t>
      </w:r>
    </w:p>
    <w:p w:rsidR="00B60ED9" w:rsidRDefault="00C17EC6">
      <w:pPr>
        <w:numPr>
          <w:ilvl w:val="255"/>
          <w:numId w:val="0"/>
        </w:numPr>
        <w:pBdr>
          <w:top w:val="single" w:sz="4" w:space="0" w:color="auto"/>
          <w:left w:val="single" w:sz="4" w:space="0" w:color="auto"/>
          <w:bottom w:val="single" w:sz="4" w:space="0" w:color="auto"/>
          <w:right w:val="single" w:sz="4" w:space="0" w:color="auto"/>
        </w:pBdr>
        <w:spacing w:after="0" w:line="276" w:lineRule="auto"/>
        <w:rPr>
          <w:rFonts w:eastAsia="Calibri"/>
          <w:lang w:eastAsia="ko-KR"/>
        </w:rPr>
      </w:pPr>
      <w:bookmarkStart w:id="6" w:name="_Hlk153358806"/>
      <w:r>
        <w:rPr>
          <w:rFonts w:eastAsia="Malgun Gothic"/>
          <w:lang w:eastAsia="ko-KR"/>
        </w:rPr>
        <w:t>Support of regenerative payload [RAN3, RAN2, RAN4]</w:t>
      </w:r>
    </w:p>
    <w:p w:rsidR="00B60ED9" w:rsidRDefault="00C17EC6">
      <w:pPr>
        <w:pStyle w:val="af9"/>
        <w:numPr>
          <w:ilvl w:val="0"/>
          <w:numId w:val="18"/>
        </w:numPr>
        <w:pBdr>
          <w:top w:val="single" w:sz="4" w:space="0" w:color="auto"/>
          <w:left w:val="single" w:sz="4" w:space="0" w:color="auto"/>
          <w:bottom w:val="single" w:sz="4" w:space="0" w:color="auto"/>
          <w:right w:val="single" w:sz="4" w:space="0" w:color="auto"/>
        </w:pBdr>
        <w:spacing w:after="0"/>
        <w:ind w:firstLine="400"/>
        <w:rPr>
          <w:rFonts w:ascii="Times New Roman" w:hAnsi="Times New Roman"/>
          <w:sz w:val="20"/>
          <w:szCs w:val="20"/>
        </w:rPr>
      </w:pPr>
      <w:r>
        <w:rPr>
          <w:rFonts w:ascii="Times New Roman" w:hAnsi="Times New Roman"/>
          <w:sz w:val="20"/>
          <w:szCs w:val="20"/>
        </w:rPr>
        <w:t>Specify the support of gNB on board in TS 38.300</w:t>
      </w:r>
    </w:p>
    <w:p w:rsidR="00B60ED9" w:rsidRDefault="00C17EC6">
      <w:pPr>
        <w:pStyle w:val="af9"/>
        <w:numPr>
          <w:ilvl w:val="0"/>
          <w:numId w:val="18"/>
        </w:numPr>
        <w:pBdr>
          <w:top w:val="single" w:sz="4" w:space="0" w:color="auto"/>
          <w:left w:val="single" w:sz="4" w:space="0" w:color="auto"/>
          <w:bottom w:val="single" w:sz="4" w:space="0" w:color="auto"/>
          <w:right w:val="single" w:sz="4" w:space="0" w:color="auto"/>
        </w:pBdr>
        <w:spacing w:after="0"/>
        <w:ind w:firstLine="400"/>
        <w:rPr>
          <w:rFonts w:ascii="Times New Roman" w:hAnsi="Times New Roman"/>
          <w:sz w:val="20"/>
          <w:szCs w:val="20"/>
          <w:highlight w:val="yellow"/>
        </w:rPr>
      </w:pPr>
      <w:r>
        <w:rPr>
          <w:rFonts w:ascii="Times New Roman" w:hAnsi="Times New Roman"/>
          <w:sz w:val="20"/>
          <w:szCs w:val="20"/>
          <w:highlight w:val="yellow"/>
        </w:rPr>
        <w:t xml:space="preserve">Specify, if needed, any necessary enhancements related to the intra and inter-gNB mobility, especially for </w:t>
      </w:r>
      <w:proofErr w:type="spellStart"/>
      <w:r>
        <w:rPr>
          <w:rFonts w:ascii="Times New Roman" w:hAnsi="Times New Roman"/>
          <w:sz w:val="20"/>
          <w:szCs w:val="20"/>
          <w:highlight w:val="yellow"/>
        </w:rPr>
        <w:t>Xn</w:t>
      </w:r>
      <w:proofErr w:type="spellEnd"/>
      <w:r>
        <w:rPr>
          <w:rFonts w:ascii="Times New Roman" w:hAnsi="Times New Roman"/>
          <w:sz w:val="20"/>
          <w:szCs w:val="20"/>
          <w:highlight w:val="yellow"/>
        </w:rPr>
        <w:t xml:space="preserve"> interface over feeder link or over ISL. [RAN3]</w:t>
      </w:r>
    </w:p>
    <w:p w:rsidR="00B60ED9" w:rsidRDefault="00C17EC6">
      <w:pPr>
        <w:pStyle w:val="af9"/>
        <w:numPr>
          <w:ilvl w:val="0"/>
          <w:numId w:val="18"/>
        </w:numPr>
        <w:pBdr>
          <w:top w:val="single" w:sz="4" w:space="0" w:color="auto"/>
          <w:left w:val="single" w:sz="4" w:space="0" w:color="auto"/>
          <w:bottom w:val="single" w:sz="4" w:space="0" w:color="auto"/>
          <w:right w:val="single" w:sz="4" w:space="0" w:color="auto"/>
        </w:pBdr>
        <w:spacing w:after="0"/>
        <w:ind w:firstLine="400"/>
        <w:rPr>
          <w:rFonts w:ascii="Times New Roman" w:hAnsi="Times New Roman"/>
          <w:sz w:val="20"/>
          <w:szCs w:val="20"/>
        </w:rPr>
      </w:pPr>
      <w:r>
        <w:rPr>
          <w:rFonts w:ascii="Times New Roman" w:hAnsi="Times New Roman"/>
          <w:sz w:val="20"/>
          <w:szCs w:val="20"/>
        </w:rPr>
        <w:t>Note: if any additional necessary stage-3 specifications impact for e.g. NGAP is identified, RAN3 will handle it.</w:t>
      </w:r>
    </w:p>
    <w:bookmarkEnd w:id="6"/>
    <w:p w:rsidR="00B60ED9" w:rsidRDefault="00C17EC6">
      <w:pPr>
        <w:pStyle w:val="af9"/>
        <w:numPr>
          <w:ilvl w:val="255"/>
          <w:numId w:val="0"/>
        </w:numPr>
        <w:snapToGrid w:val="0"/>
        <w:spacing w:before="12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The enhancements related to the mobility handling is already in RAN3 scope thus we understand the coordination between </w:t>
      </w:r>
      <w:proofErr w:type="spellStart"/>
      <w:r>
        <w:rPr>
          <w:rFonts w:ascii="Times New Roman" w:eastAsiaTheme="minorEastAsia" w:hAnsi="Times New Roman" w:hint="eastAsia"/>
          <w:kern w:val="0"/>
          <w:sz w:val="20"/>
          <w:szCs w:val="24"/>
        </w:rPr>
        <w:t>gNBs</w:t>
      </w:r>
      <w:proofErr w:type="spellEnd"/>
      <w:r>
        <w:rPr>
          <w:rFonts w:ascii="Times New Roman" w:eastAsiaTheme="minorEastAsia" w:hAnsi="Times New Roman" w:hint="eastAsia"/>
          <w:kern w:val="0"/>
          <w:sz w:val="20"/>
          <w:szCs w:val="24"/>
        </w:rPr>
        <w:t xml:space="preserve"> for satellite switch with re-sync can be covered while the security handling </w:t>
      </w:r>
      <w:proofErr w:type="gramStart"/>
      <w:r>
        <w:rPr>
          <w:rFonts w:ascii="Times New Roman" w:eastAsiaTheme="minorEastAsia" w:hAnsi="Times New Roman" w:hint="eastAsia"/>
          <w:kern w:val="0"/>
          <w:sz w:val="20"/>
          <w:szCs w:val="24"/>
        </w:rPr>
        <w:t>discussion  in</w:t>
      </w:r>
      <w:proofErr w:type="gramEnd"/>
      <w:r>
        <w:rPr>
          <w:rFonts w:ascii="Times New Roman" w:eastAsiaTheme="minorEastAsia" w:hAnsi="Times New Roman" w:hint="eastAsia"/>
          <w:kern w:val="0"/>
          <w:sz w:val="20"/>
          <w:szCs w:val="24"/>
        </w:rPr>
        <w:t xml:space="preserve"> SA3 can be triggered by LS.</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sidRPr="00EF008E">
        <w:rPr>
          <w:rFonts w:ascii="Times New Roman" w:eastAsia="Times New Roman" w:hAnsi="Times New Roman"/>
          <w:b/>
          <w:i/>
          <w:kern w:val="0"/>
          <w:sz w:val="20"/>
          <w:szCs w:val="24"/>
        </w:rPr>
        <w:t xml:space="preserve">Observation 8: </w:t>
      </w:r>
      <w:r w:rsidRPr="00EF008E">
        <w:rPr>
          <w:rFonts w:ascii="Times New Roman" w:eastAsia="Times New Roman" w:hAnsi="Times New Roman"/>
          <w:i/>
          <w:kern w:val="0"/>
          <w:sz w:val="20"/>
          <w:szCs w:val="24"/>
        </w:rPr>
        <w:t>The benefits of supporting satellite switch with re-sync to reduce signaling overhead in regenerative payload are similar as that in transparent payload.</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sidRPr="00EF008E">
        <w:rPr>
          <w:rFonts w:ascii="Times New Roman" w:eastAsia="Times New Roman" w:hAnsi="Times New Roman"/>
          <w:b/>
          <w:i/>
          <w:kern w:val="0"/>
          <w:sz w:val="20"/>
          <w:szCs w:val="24"/>
        </w:rPr>
        <w:t>Observation 9:</w:t>
      </w:r>
      <w:r>
        <w:rPr>
          <w:rFonts w:ascii="Times New Roman" w:eastAsiaTheme="minorEastAsia" w:hAnsi="Times New Roman" w:hint="eastAsia"/>
          <w:kern w:val="0"/>
          <w:sz w:val="20"/>
          <w:szCs w:val="24"/>
        </w:rPr>
        <w:t xml:space="preserve"> </w:t>
      </w:r>
      <w:r w:rsidRPr="00EF008E">
        <w:rPr>
          <w:rFonts w:ascii="Times New Roman" w:eastAsia="Times New Roman" w:hAnsi="Times New Roman"/>
          <w:i/>
          <w:kern w:val="0"/>
          <w:sz w:val="20"/>
          <w:szCs w:val="24"/>
        </w:rPr>
        <w:t xml:space="preserve">The coordination between </w:t>
      </w:r>
      <w:proofErr w:type="spellStart"/>
      <w:r w:rsidRPr="00EF008E">
        <w:rPr>
          <w:rFonts w:ascii="Times New Roman" w:eastAsia="Times New Roman" w:hAnsi="Times New Roman"/>
          <w:i/>
          <w:kern w:val="0"/>
          <w:sz w:val="20"/>
          <w:szCs w:val="24"/>
        </w:rPr>
        <w:t>gNBs</w:t>
      </w:r>
      <w:proofErr w:type="spellEnd"/>
      <w:r w:rsidRPr="00EF008E">
        <w:rPr>
          <w:rFonts w:ascii="Times New Roman" w:eastAsia="Times New Roman" w:hAnsi="Times New Roman"/>
          <w:i/>
          <w:kern w:val="0"/>
          <w:sz w:val="20"/>
          <w:szCs w:val="24"/>
        </w:rPr>
        <w:t xml:space="preserve"> on board for satellite switch with re-sync is covered by the RAN3 objective of mobility handling.</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sidRPr="00EF008E">
        <w:rPr>
          <w:rFonts w:ascii="Times New Roman" w:eastAsia="Times New Roman" w:hAnsi="Times New Roman"/>
          <w:b/>
          <w:i/>
          <w:kern w:val="0"/>
          <w:sz w:val="20"/>
          <w:szCs w:val="20"/>
        </w:rPr>
        <w:t>Proposal 5:</w:t>
      </w:r>
      <w:r>
        <w:rPr>
          <w:rFonts w:ascii="Times New Roman" w:eastAsiaTheme="minorEastAsia" w:hAnsi="Times New Roman" w:hint="eastAsia"/>
          <w:kern w:val="0"/>
          <w:sz w:val="20"/>
          <w:szCs w:val="24"/>
        </w:rPr>
        <w:t xml:space="preserve"> </w:t>
      </w:r>
      <w:r w:rsidRPr="00EF008E">
        <w:rPr>
          <w:rFonts w:ascii="Times New Roman" w:eastAsia="Times New Roman" w:hAnsi="Times New Roman"/>
          <w:i/>
          <w:kern w:val="0"/>
          <w:sz w:val="20"/>
          <w:szCs w:val="20"/>
        </w:rPr>
        <w:t>Support satellite switch with r</w:t>
      </w:r>
      <w:r w:rsidR="00EF008E">
        <w:rPr>
          <w:rFonts w:ascii="Times New Roman" w:eastAsia="Times New Roman" w:hAnsi="Times New Roman"/>
          <w:i/>
          <w:kern w:val="0"/>
          <w:sz w:val="20"/>
          <w:szCs w:val="20"/>
        </w:rPr>
        <w:t>e-sync for regenerative payload</w:t>
      </w:r>
      <w:r w:rsidRPr="00EF008E">
        <w:rPr>
          <w:rFonts w:ascii="Times New Roman" w:eastAsia="Times New Roman" w:hAnsi="Times New Roman"/>
          <w:i/>
          <w:kern w:val="0"/>
          <w:sz w:val="20"/>
          <w:szCs w:val="20"/>
        </w:rPr>
        <w:t xml:space="preserve"> as part of the supporting of regenerative payload. Security handling discussion in SA3 can be triggered by LS, if needed.</w:t>
      </w:r>
    </w:p>
    <w:p w:rsidR="00B60ED9" w:rsidRDefault="00C17EC6">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 xml:space="preserve">Conclusion </w:t>
      </w:r>
    </w:p>
    <w:p w:rsidR="00B60ED9" w:rsidRDefault="00C17EC6">
      <w:pPr>
        <w:pStyle w:val="observation"/>
        <w:numPr>
          <w:ilvl w:val="0"/>
          <w:numId w:val="0"/>
        </w:numPr>
        <w:snapToGrid w:val="0"/>
        <w:jc w:val="both"/>
        <w:rPr>
          <w:b w:val="0"/>
          <w:bCs/>
        </w:rPr>
      </w:pPr>
      <w:r>
        <w:rPr>
          <w:b w:val="0"/>
          <w:bCs/>
        </w:rPr>
        <w:t>In this contribution, the detailed views on the objectives for NR-NTN are provided with following proposals:</w:t>
      </w:r>
    </w:p>
    <w:p w:rsidR="00B60ED9" w:rsidRDefault="00C17EC6">
      <w:pPr>
        <w:snapToGrid w:val="0"/>
        <w:spacing w:before="120"/>
        <w:rPr>
          <w:i/>
          <w:szCs w:val="20"/>
        </w:rPr>
      </w:pPr>
      <w:r>
        <w:rPr>
          <w:b/>
          <w:i/>
          <w:szCs w:val="20"/>
        </w:rPr>
        <w:t xml:space="preserve">Observation 1: </w:t>
      </w:r>
      <w:r>
        <w:rPr>
          <w:i/>
          <w:szCs w:val="20"/>
        </w:rPr>
        <w:t xml:space="preserve">The target of the DL enhancement is well justified as: </w:t>
      </w:r>
    </w:p>
    <w:p w:rsidR="00B60ED9" w:rsidRDefault="00C17EC6">
      <w:pPr>
        <w:pStyle w:val="af9"/>
        <w:numPr>
          <w:ilvl w:val="0"/>
          <w:numId w:val="22"/>
        </w:numPr>
        <w:snapToGrid w:val="0"/>
        <w:spacing w:before="120"/>
        <w:ind w:firstLineChars="0"/>
        <w:rPr>
          <w:rFonts w:ascii="Times New Roman" w:eastAsiaTheme="minorEastAsia" w:hAnsi="Times New Roman"/>
          <w:i/>
          <w:sz w:val="20"/>
          <w:szCs w:val="20"/>
        </w:rPr>
      </w:pPr>
      <w:r>
        <w:rPr>
          <w:rFonts w:ascii="Times New Roman" w:hAnsi="Times New Roman"/>
          <w:i/>
          <w:sz w:val="20"/>
          <w:szCs w:val="20"/>
        </w:rPr>
        <w:t>Ensuring the service availability for all UE, (i.e., 100% coverage ratio for satellite foot print) in system level.</w:t>
      </w:r>
    </w:p>
    <w:p w:rsidR="00B60ED9" w:rsidRDefault="00C17EC6">
      <w:pPr>
        <w:pStyle w:val="af9"/>
        <w:numPr>
          <w:ilvl w:val="0"/>
          <w:numId w:val="22"/>
        </w:numPr>
        <w:snapToGrid w:val="0"/>
        <w:spacing w:before="120"/>
        <w:ind w:firstLineChars="0"/>
        <w:rPr>
          <w:rFonts w:ascii="Times New Roman" w:eastAsiaTheme="minorEastAsia" w:hAnsi="Times New Roman"/>
          <w:i/>
          <w:sz w:val="20"/>
          <w:szCs w:val="20"/>
        </w:rPr>
      </w:pPr>
      <w:r>
        <w:rPr>
          <w:rFonts w:ascii="Times New Roman" w:hAnsi="Times New Roman"/>
          <w:i/>
          <w:sz w:val="20"/>
          <w:szCs w:val="20"/>
        </w:rPr>
        <w:t>Identify</w:t>
      </w:r>
      <w:r>
        <w:rPr>
          <w:rFonts w:ascii="Times New Roman" w:hAnsi="Times New Roman" w:hint="eastAsia"/>
          <w:i/>
          <w:sz w:val="20"/>
          <w:szCs w:val="20"/>
        </w:rPr>
        <w:t>ing</w:t>
      </w:r>
      <w:r>
        <w:rPr>
          <w:rFonts w:ascii="Times New Roman" w:hAnsi="Times New Roman"/>
          <w:i/>
          <w:sz w:val="20"/>
          <w:szCs w:val="20"/>
        </w:rPr>
        <w:t xml:space="preserve"> the margin for link-level improvement without impact on SSB in link level.</w:t>
      </w:r>
    </w:p>
    <w:p w:rsidR="00B60ED9" w:rsidRDefault="00C17EC6">
      <w:pPr>
        <w:snapToGrid w:val="0"/>
        <w:spacing w:before="120"/>
        <w:rPr>
          <w:i/>
          <w:szCs w:val="20"/>
        </w:rPr>
      </w:pPr>
      <w:r>
        <w:rPr>
          <w:b/>
          <w:i/>
          <w:szCs w:val="20"/>
        </w:rPr>
        <w:lastRenderedPageBreak/>
        <w:t xml:space="preserve">Observation 2: </w:t>
      </w:r>
      <w:r>
        <w:rPr>
          <w:i/>
          <w:szCs w:val="20"/>
        </w:rPr>
        <w:t xml:space="preserve">The parameters sets agreed in RAN1 reflect the existing NTN deployment constrains. </w:t>
      </w:r>
    </w:p>
    <w:p w:rsidR="00B60ED9" w:rsidRDefault="00C17EC6">
      <w:pPr>
        <w:snapToGrid w:val="0"/>
        <w:spacing w:before="120"/>
        <w:rPr>
          <w:i/>
          <w:szCs w:val="20"/>
        </w:rPr>
      </w:pPr>
      <w:r>
        <w:rPr>
          <w:b/>
          <w:i/>
          <w:szCs w:val="20"/>
        </w:rPr>
        <w:t xml:space="preserve">Observation 3: </w:t>
      </w:r>
      <w:r>
        <w:rPr>
          <w:i/>
          <w:szCs w:val="20"/>
        </w:rPr>
        <w:t xml:space="preserve">The extension of the SSB periodicity is important approach to achieve the target of DL enhancement parameters in system level. </w:t>
      </w:r>
    </w:p>
    <w:p w:rsidR="00B60ED9" w:rsidRDefault="00C17EC6">
      <w:pPr>
        <w:snapToGrid w:val="0"/>
        <w:spacing w:before="120"/>
        <w:rPr>
          <w:rFonts w:eastAsiaTheme="minorEastAsia"/>
          <w:i/>
          <w:lang w:eastAsia="zh-CN"/>
        </w:rPr>
      </w:pPr>
      <w:r>
        <w:rPr>
          <w:b/>
          <w:i/>
          <w:lang w:eastAsia="zh-CN"/>
        </w:rPr>
        <w:t>Observation 4:</w:t>
      </w:r>
      <w:r>
        <w:rPr>
          <w:rFonts w:hint="eastAsia"/>
          <w:b/>
          <w:i/>
          <w:lang w:eastAsia="zh-CN"/>
        </w:rPr>
        <w:t xml:space="preserve"> </w:t>
      </w:r>
      <w:r>
        <w:rPr>
          <w:i/>
          <w:lang w:eastAsia="zh-CN"/>
        </w:rPr>
        <w:t>The note of “SSB channel enhancement is not considered” in WID is only for link level enhancement and does not impact the discussion on SSB periodicity extension for system level enhancement.</w:t>
      </w:r>
    </w:p>
    <w:p w:rsidR="00B60ED9" w:rsidRDefault="00C17EC6">
      <w:pPr>
        <w:snapToGrid w:val="0"/>
        <w:spacing w:before="120"/>
        <w:rPr>
          <w:i/>
          <w:lang w:eastAsia="zh-CN"/>
        </w:rPr>
      </w:pPr>
      <w:r>
        <w:rPr>
          <w:b/>
          <w:i/>
          <w:lang w:eastAsia="zh-CN"/>
        </w:rPr>
        <w:t>Proposal 1:</w:t>
      </w:r>
      <w:r>
        <w:rPr>
          <w:rFonts w:hint="eastAsia"/>
          <w:b/>
          <w:i/>
          <w:lang w:eastAsia="zh-CN"/>
        </w:rPr>
        <w:t xml:space="preserve"> </w:t>
      </w:r>
      <w:r>
        <w:rPr>
          <w:i/>
          <w:lang w:eastAsia="zh-CN"/>
        </w:rPr>
        <w:t>Updat</w:t>
      </w:r>
      <w:r w:rsidR="00211A35">
        <w:rPr>
          <w:i/>
          <w:lang w:eastAsia="zh-CN"/>
        </w:rPr>
        <w:t>e</w:t>
      </w:r>
      <w:r>
        <w:rPr>
          <w:i/>
          <w:lang w:eastAsia="zh-CN"/>
        </w:rPr>
        <w:t xml:space="preserve"> the description of WID as </w:t>
      </w:r>
      <w:r w:rsidR="00211A35">
        <w:rPr>
          <w:i/>
          <w:lang w:eastAsia="zh-CN"/>
        </w:rPr>
        <w:t>below</w:t>
      </w:r>
      <w:r>
        <w:rPr>
          <w:i/>
          <w:lang w:eastAsia="zh-CN"/>
        </w:rPr>
        <w:t xml:space="preserve"> to clarify that the intention of the note is only for link level enhancement and does not impact the discussion on SSB periodicity extension for system level enhancement:</w:t>
      </w: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numPr>
                <w:ilvl w:val="0"/>
                <w:numId w:val="26"/>
              </w:numPr>
              <w:overflowPunct w:val="0"/>
              <w:autoSpaceDE w:val="0"/>
              <w:autoSpaceDN w:val="0"/>
              <w:adjustRightInd w:val="0"/>
              <w:spacing w:before="120"/>
              <w:textAlignment w:val="baseline"/>
              <w:rPr>
                <w:rFonts w:eastAsia="Calibri"/>
                <w:szCs w:val="20"/>
                <w:lang w:eastAsia="ko-KR"/>
              </w:rPr>
            </w:pPr>
            <w:r>
              <w:rPr>
                <w:rFonts w:eastAsia="Calibri"/>
                <w:szCs w:val="20"/>
                <w:lang w:eastAsia="ko-KR"/>
              </w:rPr>
              <w:t>Study and specify if beneficial downlink coverage enhancements targeting support for additional reference satellite payload parameters covering both GSO and NGSO constellations operating in FR1-NTN or FR2-NTN [RAN1, RAN2, RAN4]</w:t>
            </w:r>
          </w:p>
          <w:p w:rsidR="00B60ED9" w:rsidRDefault="00C17EC6">
            <w:pPr>
              <w:pStyle w:val="af9"/>
              <w:numPr>
                <w:ilvl w:val="0"/>
                <w:numId w:val="18"/>
              </w:numPr>
              <w:spacing w:before="120"/>
              <w:ind w:firstLineChars="0"/>
              <w:contextualSpacing/>
              <w:rPr>
                <w:rFonts w:ascii="Times New Roman" w:hAnsi="Times New Roman"/>
                <w:sz w:val="20"/>
                <w:szCs w:val="20"/>
              </w:rPr>
            </w:pPr>
            <w:r>
              <w:rPr>
                <w:rFonts w:ascii="Times New Roman" w:hAnsi="Times New Roman"/>
                <w:sz w:val="20"/>
                <w:szCs w:val="20"/>
              </w:rPr>
              <w:t>Notes for this objective:</w:t>
            </w:r>
          </w:p>
          <w:p w:rsidR="00B60ED9" w:rsidRDefault="00C17EC6">
            <w:pPr>
              <w:pStyle w:val="af9"/>
              <w:numPr>
                <w:ilvl w:val="1"/>
                <w:numId w:val="18"/>
              </w:numPr>
              <w:spacing w:before="120"/>
              <w:ind w:firstLineChars="0"/>
              <w:contextualSpacing/>
              <w:rPr>
                <w:rFonts w:eastAsiaTheme="minorEastAsia"/>
              </w:rPr>
            </w:pPr>
            <w:r>
              <w:rPr>
                <w:rFonts w:ascii="Times New Roman" w:hAnsi="Times New Roman"/>
                <w:sz w:val="20"/>
                <w:szCs w:val="20"/>
              </w:rPr>
              <w:t xml:space="preserve">SSB channel enhancement is not considered </w:t>
            </w:r>
            <w:r>
              <w:rPr>
                <w:rFonts w:ascii="Times New Roman" w:hAnsi="Times New Roman"/>
                <w:color w:val="FF0000"/>
                <w:sz w:val="20"/>
                <w:szCs w:val="20"/>
              </w:rPr>
              <w:t>for link level enhancement</w:t>
            </w:r>
            <w:r>
              <w:rPr>
                <w:rFonts w:ascii="Times New Roman" w:hAnsi="Times New Roman"/>
                <w:sz w:val="20"/>
                <w:szCs w:val="20"/>
              </w:rPr>
              <w:t>.</w:t>
            </w:r>
          </w:p>
        </w:tc>
      </w:tr>
    </w:tbl>
    <w:p w:rsidR="00B60ED9" w:rsidRDefault="00C17EC6">
      <w:pPr>
        <w:snapToGrid w:val="0"/>
        <w:spacing w:before="120"/>
        <w:rPr>
          <w:rFonts w:eastAsiaTheme="minorEastAsia"/>
          <w:i/>
          <w:szCs w:val="20"/>
          <w:lang w:eastAsia="zh-CN"/>
        </w:rPr>
      </w:pPr>
      <w:r>
        <w:rPr>
          <w:b/>
          <w:i/>
          <w:szCs w:val="20"/>
          <w:lang w:eastAsia="zh-CN"/>
        </w:rPr>
        <w:t>Proposal 2:</w:t>
      </w:r>
      <w:r>
        <w:rPr>
          <w:rFonts w:hint="eastAsia"/>
          <w:b/>
          <w:i/>
          <w:szCs w:val="20"/>
          <w:lang w:eastAsia="zh-CN"/>
        </w:rPr>
        <w:t xml:space="preserve"> </w:t>
      </w:r>
      <w:r>
        <w:rPr>
          <w:i/>
          <w:szCs w:val="20"/>
          <w:lang w:eastAsia="zh-CN"/>
        </w:rPr>
        <w:t>RAN1 further consider the study on link level enhancement for the identified channel(s) without exceeding the SNR limitation of the SSB detection according to realistic assumption.</w:t>
      </w:r>
    </w:p>
    <w:p w:rsidR="00B60ED9" w:rsidRDefault="00C17EC6">
      <w:pPr>
        <w:snapToGrid w:val="0"/>
        <w:spacing w:before="120"/>
        <w:rPr>
          <w:rFonts w:eastAsiaTheme="minorEastAsia"/>
          <w:i/>
          <w:lang w:eastAsia="zh-CN"/>
        </w:rPr>
      </w:pPr>
      <w:r>
        <w:rPr>
          <w:b/>
          <w:i/>
          <w:lang w:eastAsia="zh-CN"/>
        </w:rPr>
        <w:t>Observation 5:</w:t>
      </w:r>
      <w:r>
        <w:rPr>
          <w:rFonts w:hint="eastAsia"/>
          <w:b/>
          <w:i/>
          <w:lang w:eastAsia="zh-CN"/>
        </w:rPr>
        <w:t xml:space="preserve"> </w:t>
      </w:r>
      <w:r>
        <w:rPr>
          <w:rFonts w:hint="eastAsia"/>
          <w:i/>
          <w:lang w:eastAsia="zh-CN"/>
        </w:rPr>
        <w:t>Inter-slot OCC requires minimum spec effort and implementation complexity and is the only solution that supports backward compatibility.</w:t>
      </w:r>
    </w:p>
    <w:p w:rsidR="00B60ED9" w:rsidRDefault="00C17EC6">
      <w:pPr>
        <w:snapToGrid w:val="0"/>
        <w:spacing w:before="120"/>
        <w:rPr>
          <w:i/>
          <w:lang w:eastAsia="zh-CN"/>
        </w:rPr>
      </w:pPr>
      <w:r>
        <w:rPr>
          <w:b/>
          <w:i/>
          <w:lang w:eastAsia="zh-CN"/>
        </w:rPr>
        <w:t>Proposal 3:</w:t>
      </w:r>
      <w:r>
        <w:rPr>
          <w:rFonts w:hint="eastAsia"/>
          <w:i/>
          <w:lang w:eastAsia="zh-CN"/>
        </w:rPr>
        <w:t xml:space="preserve"> </w:t>
      </w:r>
      <w:r>
        <w:rPr>
          <w:i/>
          <w:lang w:eastAsia="zh-CN"/>
        </w:rPr>
        <w:t xml:space="preserve">RAN endorse the normative phase of UL enhancement with the limited scope to specify the </w:t>
      </w:r>
      <w:r>
        <w:rPr>
          <w:rFonts w:hint="eastAsia"/>
          <w:i/>
          <w:lang w:eastAsia="zh-CN"/>
        </w:rPr>
        <w:t>inter-slot time domain OCC with OCC length 2 or 4 for NR NTN</w:t>
      </w:r>
      <w:r>
        <w:rPr>
          <w:i/>
          <w:lang w:eastAsia="zh-CN"/>
        </w:rPr>
        <w:t>.</w:t>
      </w:r>
    </w:p>
    <w:p w:rsidR="00B60ED9" w:rsidRDefault="00C17EC6">
      <w:pPr>
        <w:snapToGrid w:val="0"/>
        <w:spacing w:before="120"/>
        <w:rPr>
          <w:rFonts w:eastAsiaTheme="minorEastAsia"/>
          <w:i/>
          <w:lang w:eastAsia="zh-CN"/>
        </w:rPr>
      </w:pPr>
      <w:r>
        <w:rPr>
          <w:b/>
          <w:i/>
          <w:lang w:eastAsia="zh-CN"/>
        </w:rPr>
        <w:t>Observation 6:</w:t>
      </w:r>
      <w:r>
        <w:rPr>
          <w:rFonts w:hint="eastAsia"/>
          <w:b/>
          <w:i/>
          <w:lang w:eastAsia="zh-CN"/>
        </w:rPr>
        <w:t xml:space="preserve"> </w:t>
      </w:r>
      <w:r>
        <w:rPr>
          <w:i/>
          <w:lang w:eastAsia="zh-CN"/>
        </w:rPr>
        <w:t>The benefits of the enhancements on error cases are limited.</w:t>
      </w:r>
    </w:p>
    <w:p w:rsidR="00B60ED9" w:rsidRDefault="00C17EC6">
      <w:pPr>
        <w:snapToGrid w:val="0"/>
        <w:spacing w:before="120"/>
        <w:rPr>
          <w:rFonts w:eastAsiaTheme="minorEastAsia"/>
          <w:i/>
          <w:lang w:eastAsia="zh-CN"/>
        </w:rPr>
      </w:pPr>
      <w:r>
        <w:rPr>
          <w:b/>
          <w:i/>
          <w:lang w:eastAsia="zh-CN"/>
        </w:rPr>
        <w:t>Observation 7:</w:t>
      </w:r>
      <w:r>
        <w:rPr>
          <w:rFonts w:hint="eastAsia"/>
          <w:b/>
          <w:i/>
          <w:lang w:eastAsia="zh-CN"/>
        </w:rPr>
        <w:t xml:space="preserve"> </w:t>
      </w:r>
      <w:r>
        <w:rPr>
          <w:i/>
          <w:lang w:eastAsia="zh-CN"/>
        </w:rPr>
        <w:t>Mandating the support of TA reporting is beneficial to mitigate the TA mismatch, which can essentially resolve the issues caused by TA mismatch for all collision case.</w:t>
      </w:r>
    </w:p>
    <w:p w:rsidR="00B60ED9" w:rsidRDefault="00C17EC6">
      <w:pPr>
        <w:snapToGrid w:val="0"/>
        <w:spacing w:before="120"/>
        <w:rPr>
          <w:i/>
          <w:lang w:eastAsia="zh-CN"/>
        </w:rPr>
      </w:pPr>
      <w:r>
        <w:rPr>
          <w:b/>
          <w:i/>
          <w:szCs w:val="20"/>
          <w:lang w:eastAsia="zh-CN"/>
        </w:rPr>
        <w:t>Proposal 4:</w:t>
      </w:r>
      <w:r>
        <w:rPr>
          <w:rFonts w:hint="eastAsia"/>
          <w:b/>
          <w:i/>
          <w:szCs w:val="20"/>
          <w:lang w:eastAsia="zh-CN"/>
        </w:rPr>
        <w:t xml:space="preserve"> </w:t>
      </w:r>
      <w:r>
        <w:rPr>
          <w:i/>
          <w:szCs w:val="20"/>
          <w:lang w:eastAsia="zh-CN"/>
        </w:rPr>
        <w:t xml:space="preserve">If TU is available, </w:t>
      </w:r>
      <w:r>
        <w:rPr>
          <w:i/>
          <w:lang w:eastAsia="zh-CN"/>
        </w:rPr>
        <w:t>RAN can endorse the normative phase to support the (e)</w:t>
      </w:r>
      <w:proofErr w:type="spellStart"/>
      <w:r>
        <w:rPr>
          <w:i/>
          <w:lang w:eastAsia="zh-CN"/>
        </w:rPr>
        <w:t>RedCap</w:t>
      </w:r>
      <w:proofErr w:type="spellEnd"/>
      <w:r>
        <w:rPr>
          <w:i/>
          <w:lang w:eastAsia="zh-CN"/>
        </w:rPr>
        <w:t xml:space="preserve"> UEs UL in NTN with the following limited scope:</w:t>
      </w:r>
    </w:p>
    <w:p w:rsidR="00B60ED9" w:rsidRDefault="00C17EC6">
      <w:pPr>
        <w:pStyle w:val="af9"/>
        <w:numPr>
          <w:ilvl w:val="0"/>
          <w:numId w:val="31"/>
        </w:numPr>
        <w:snapToGrid w:val="0"/>
        <w:spacing w:before="120"/>
        <w:ind w:firstLineChars="0"/>
        <w:rPr>
          <w:rFonts w:ascii="Times New Roman" w:hAnsi="Times New Roman"/>
          <w:i/>
          <w:sz w:val="20"/>
          <w:szCs w:val="20"/>
        </w:rPr>
      </w:pPr>
      <w:r>
        <w:rPr>
          <w:rFonts w:ascii="Times New Roman" w:hAnsi="Times New Roman"/>
          <w:i/>
          <w:sz w:val="20"/>
          <w:szCs w:val="20"/>
        </w:rPr>
        <w:t>Manda</w:t>
      </w:r>
      <w:r w:rsidR="00211A35">
        <w:rPr>
          <w:rFonts w:ascii="Times New Roman" w:hAnsi="Times New Roman"/>
          <w:i/>
          <w:sz w:val="20"/>
          <w:szCs w:val="20"/>
        </w:rPr>
        <w:t>te</w:t>
      </w:r>
      <w:r>
        <w:rPr>
          <w:rFonts w:ascii="Times New Roman" w:hAnsi="Times New Roman"/>
          <w:i/>
          <w:sz w:val="20"/>
          <w:szCs w:val="20"/>
        </w:rPr>
        <w:t xml:space="preserve"> the legacy (pre-Rel-19) TA reporting mechanism as the mandatory UE feature for Rel-19 </w:t>
      </w:r>
      <w:r>
        <w:rPr>
          <w:rFonts w:ascii="Times New Roman" w:eastAsia="Times New Roman" w:hAnsi="Times New Roman"/>
          <w:i/>
          <w:kern w:val="0"/>
          <w:sz w:val="20"/>
          <w:szCs w:val="20"/>
        </w:rPr>
        <w:t>(e)</w:t>
      </w:r>
      <w:proofErr w:type="spellStart"/>
      <w:r>
        <w:rPr>
          <w:rFonts w:ascii="Times New Roman" w:eastAsia="Times New Roman" w:hAnsi="Times New Roman"/>
          <w:i/>
          <w:kern w:val="0"/>
          <w:sz w:val="20"/>
          <w:szCs w:val="20"/>
        </w:rPr>
        <w:t>RedCap</w:t>
      </w:r>
      <w:proofErr w:type="spellEnd"/>
      <w:r>
        <w:rPr>
          <w:rFonts w:ascii="Times New Roman" w:eastAsia="Times New Roman" w:hAnsi="Times New Roman"/>
          <w:i/>
          <w:kern w:val="0"/>
          <w:sz w:val="20"/>
          <w:szCs w:val="20"/>
        </w:rPr>
        <w:t xml:space="preserve"> UEs</w:t>
      </w:r>
    </w:p>
    <w:p w:rsidR="00B60ED9" w:rsidRDefault="00C17EC6">
      <w:pPr>
        <w:pStyle w:val="af9"/>
        <w:numPr>
          <w:ilvl w:val="1"/>
          <w:numId w:val="31"/>
        </w:numPr>
        <w:snapToGrid w:val="0"/>
        <w:spacing w:before="120"/>
        <w:ind w:firstLineChars="0"/>
      </w:pPr>
      <w:r>
        <w:rPr>
          <w:rFonts w:ascii="Times New Roman" w:hAnsi="Times New Roman"/>
          <w:i/>
          <w:sz w:val="20"/>
          <w:szCs w:val="20"/>
        </w:rPr>
        <w:t xml:space="preserve"> Enhancement on the granularity for reported TA can be considered.</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Pr>
          <w:rFonts w:ascii="Times New Roman" w:eastAsia="Times New Roman" w:hAnsi="Times New Roman"/>
          <w:b/>
          <w:i/>
          <w:kern w:val="0"/>
          <w:sz w:val="20"/>
          <w:szCs w:val="24"/>
        </w:rPr>
        <w:t xml:space="preserve">Observation 8: </w:t>
      </w:r>
      <w:r>
        <w:rPr>
          <w:rFonts w:ascii="Times New Roman" w:eastAsia="Times New Roman" w:hAnsi="Times New Roman"/>
          <w:i/>
          <w:kern w:val="0"/>
          <w:sz w:val="20"/>
          <w:szCs w:val="24"/>
        </w:rPr>
        <w:t>The benefits of supporting satellite switch with re-sync to reduce signaling overhead in regenerative payload are similar as that in transparent payload.</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Pr>
          <w:rFonts w:ascii="Times New Roman" w:eastAsia="Times New Roman" w:hAnsi="Times New Roman"/>
          <w:b/>
          <w:i/>
          <w:kern w:val="0"/>
          <w:sz w:val="20"/>
          <w:szCs w:val="24"/>
        </w:rPr>
        <w:t>Observation 9:</w:t>
      </w:r>
      <w:r>
        <w:rPr>
          <w:rFonts w:ascii="Times New Roman" w:eastAsiaTheme="minorEastAsia" w:hAnsi="Times New Roman" w:hint="eastAsia"/>
          <w:kern w:val="0"/>
          <w:sz w:val="20"/>
          <w:szCs w:val="24"/>
        </w:rPr>
        <w:t xml:space="preserve"> </w:t>
      </w:r>
      <w:r>
        <w:rPr>
          <w:rFonts w:ascii="Times New Roman" w:eastAsia="Times New Roman" w:hAnsi="Times New Roman"/>
          <w:i/>
          <w:kern w:val="0"/>
          <w:sz w:val="20"/>
          <w:szCs w:val="24"/>
        </w:rPr>
        <w:t xml:space="preserve">The coordination between </w:t>
      </w:r>
      <w:proofErr w:type="spellStart"/>
      <w:r>
        <w:rPr>
          <w:rFonts w:ascii="Times New Roman" w:eastAsia="Times New Roman" w:hAnsi="Times New Roman"/>
          <w:i/>
          <w:kern w:val="0"/>
          <w:sz w:val="20"/>
          <w:szCs w:val="24"/>
        </w:rPr>
        <w:t>gNBs</w:t>
      </w:r>
      <w:proofErr w:type="spellEnd"/>
      <w:r>
        <w:rPr>
          <w:rFonts w:ascii="Times New Roman" w:eastAsia="Times New Roman" w:hAnsi="Times New Roman"/>
          <w:i/>
          <w:kern w:val="0"/>
          <w:sz w:val="20"/>
          <w:szCs w:val="24"/>
        </w:rPr>
        <w:t xml:space="preserve"> on board for satellite switch with re-sync is covered by the RAN3 objective of mobil</w:t>
      </w:r>
      <w:bookmarkStart w:id="7" w:name="_GoBack"/>
      <w:bookmarkEnd w:id="7"/>
      <w:r>
        <w:rPr>
          <w:rFonts w:ascii="Times New Roman" w:eastAsia="Times New Roman" w:hAnsi="Times New Roman"/>
          <w:i/>
          <w:kern w:val="0"/>
          <w:sz w:val="20"/>
          <w:szCs w:val="24"/>
        </w:rPr>
        <w:t>ity handling.</w:t>
      </w:r>
    </w:p>
    <w:p w:rsidR="00B60ED9" w:rsidRDefault="00C17EC6">
      <w:pPr>
        <w:pStyle w:val="af9"/>
        <w:numPr>
          <w:ilvl w:val="255"/>
          <w:numId w:val="0"/>
        </w:numPr>
        <w:snapToGrid w:val="0"/>
        <w:spacing w:before="120"/>
        <w:rPr>
          <w:rFonts w:ascii="Times New Roman" w:eastAsiaTheme="minorEastAsia" w:hAnsi="Times New Roman"/>
          <w:kern w:val="0"/>
          <w:sz w:val="20"/>
          <w:szCs w:val="24"/>
        </w:rPr>
      </w:pPr>
      <w:r>
        <w:rPr>
          <w:rFonts w:ascii="Times New Roman" w:eastAsia="Times New Roman" w:hAnsi="Times New Roman"/>
          <w:b/>
          <w:i/>
          <w:kern w:val="0"/>
          <w:sz w:val="20"/>
          <w:szCs w:val="20"/>
        </w:rPr>
        <w:t>Proposal 5:</w:t>
      </w:r>
      <w:r>
        <w:rPr>
          <w:rFonts w:ascii="Times New Roman" w:eastAsiaTheme="minorEastAsia" w:hAnsi="Times New Roman" w:hint="eastAsia"/>
          <w:kern w:val="0"/>
          <w:sz w:val="20"/>
          <w:szCs w:val="24"/>
        </w:rPr>
        <w:t xml:space="preserve"> </w:t>
      </w:r>
      <w:r>
        <w:rPr>
          <w:rFonts w:ascii="Times New Roman" w:eastAsia="Times New Roman" w:hAnsi="Times New Roman"/>
          <w:i/>
          <w:kern w:val="0"/>
          <w:sz w:val="20"/>
          <w:szCs w:val="20"/>
        </w:rPr>
        <w:t>Support satellite switch with re</w:t>
      </w:r>
      <w:r w:rsidR="00EF008E">
        <w:rPr>
          <w:rFonts w:ascii="Times New Roman" w:eastAsia="Times New Roman" w:hAnsi="Times New Roman"/>
          <w:i/>
          <w:kern w:val="0"/>
          <w:sz w:val="20"/>
          <w:szCs w:val="20"/>
        </w:rPr>
        <w:t xml:space="preserve">-sync for regenerative payload </w:t>
      </w:r>
      <w:r>
        <w:rPr>
          <w:rFonts w:ascii="Times New Roman" w:eastAsia="Times New Roman" w:hAnsi="Times New Roman"/>
          <w:i/>
          <w:kern w:val="0"/>
          <w:sz w:val="20"/>
          <w:szCs w:val="20"/>
        </w:rPr>
        <w:t>as part of the supporting of regenerative payload. Security handling discussion in SA3 can be triggered by LS, if needed.</w:t>
      </w:r>
    </w:p>
    <w:p w:rsidR="00B60ED9" w:rsidRDefault="00C17EC6">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hint="eastAsia"/>
          <w:kern w:val="0"/>
          <w:szCs w:val="30"/>
        </w:rPr>
        <w:t>References</w:t>
      </w:r>
    </w:p>
    <w:bookmarkStart w:id="8" w:name="_Ref151923194"/>
    <w:bookmarkStart w:id="9" w:name="_Ref152226390"/>
    <w:bookmarkEnd w:id="0"/>
    <w:bookmarkEnd w:id="1"/>
    <w:p w:rsidR="00B60ED9" w:rsidRDefault="00C17EC6">
      <w:pPr>
        <w:pStyle w:val="af9"/>
        <w:numPr>
          <w:ilvl w:val="0"/>
          <w:numId w:val="32"/>
        </w:numPr>
        <w:snapToGrid w:val="0"/>
        <w:spacing w:after="0"/>
        <w:ind w:left="505" w:firstLineChars="0" w:hanging="505"/>
        <w:rPr>
          <w:rFonts w:ascii="Times New Roman" w:eastAsiaTheme="minorEastAsia" w:hAnsi="Times New Roman"/>
          <w:kern w:val="0"/>
          <w:sz w:val="20"/>
          <w:szCs w:val="20"/>
        </w:rPr>
      </w:pPr>
      <w:r>
        <w:rPr>
          <w:rFonts w:ascii="Times New Roman" w:eastAsiaTheme="minorEastAsia" w:hAnsi="Times New Roman"/>
          <w:kern w:val="0"/>
          <w:sz w:val="20"/>
          <w:szCs w:val="20"/>
        </w:rPr>
        <w:fldChar w:fldCharType="begin"/>
      </w:r>
      <w:r>
        <w:rPr>
          <w:rFonts w:ascii="Times New Roman" w:eastAsiaTheme="minorEastAsia" w:hAnsi="Times New Roman"/>
          <w:kern w:val="0"/>
          <w:sz w:val="20"/>
          <w:szCs w:val="20"/>
        </w:rPr>
        <w:instrText xml:space="preserve"> HYPERLINK "http://www.3gpp.org/ftp/tsg_ran/TSG_RAN/TSGR_101/Docs/RP-232610.zip" </w:instrText>
      </w:r>
      <w:r>
        <w:rPr>
          <w:rFonts w:ascii="Times New Roman" w:eastAsiaTheme="minorEastAsia" w:hAnsi="Times New Roman"/>
          <w:kern w:val="0"/>
          <w:sz w:val="20"/>
          <w:szCs w:val="20"/>
        </w:rPr>
        <w:fldChar w:fldCharType="separate"/>
      </w:r>
      <w:r>
        <w:rPr>
          <w:rFonts w:ascii="Times New Roman" w:hAnsi="Times New Roman"/>
        </w:rPr>
        <w:t>RP-240775</w:t>
      </w:r>
      <w:r>
        <w:rPr>
          <w:rFonts w:ascii="Times New Roman" w:eastAsiaTheme="minorEastAsia" w:hAnsi="Times New Roman"/>
          <w:kern w:val="0"/>
          <w:sz w:val="20"/>
          <w:szCs w:val="20"/>
        </w:rPr>
        <w:fldChar w:fldCharType="end"/>
      </w:r>
      <w:r>
        <w:rPr>
          <w:rFonts w:ascii="Times New Roman" w:eastAsiaTheme="minorEastAsia" w:hAnsi="Times New Roman"/>
          <w:kern w:val="0"/>
          <w:sz w:val="20"/>
          <w:szCs w:val="20"/>
        </w:rPr>
        <w:t xml:space="preserve">, </w:t>
      </w:r>
      <w:bookmarkEnd w:id="8"/>
      <w:r>
        <w:rPr>
          <w:rFonts w:ascii="Times New Roman" w:eastAsiaTheme="minorEastAsia" w:hAnsi="Times New Roman"/>
          <w:kern w:val="0"/>
          <w:sz w:val="20"/>
          <w:szCs w:val="20"/>
        </w:rPr>
        <w:t>Revised WID: Non-Terrestrial Networks (NTN) for NR Phase 3, RAN#103.</w:t>
      </w:r>
      <w:bookmarkEnd w:id="9"/>
    </w:p>
    <w:p w:rsidR="00B60ED9" w:rsidRDefault="00C17EC6">
      <w:pPr>
        <w:pStyle w:val="af9"/>
        <w:numPr>
          <w:ilvl w:val="0"/>
          <w:numId w:val="32"/>
        </w:numPr>
        <w:snapToGrid w:val="0"/>
        <w:spacing w:after="0"/>
        <w:ind w:left="505" w:firstLineChars="0" w:hanging="505"/>
        <w:rPr>
          <w:rFonts w:ascii="Times New Roman" w:hAnsi="Times New Roman"/>
        </w:rPr>
      </w:pPr>
      <w:r>
        <w:rPr>
          <w:rFonts w:ascii="Times New Roman" w:hAnsi="Times New Roman"/>
        </w:rPr>
        <w:t>FL Summary #3: NR-NTN downlink coverage enhancements, Moderator (Thales)</w:t>
      </w:r>
    </w:p>
    <w:p w:rsidR="00B60ED9" w:rsidRDefault="00C17EC6">
      <w:pPr>
        <w:pStyle w:val="af9"/>
        <w:numPr>
          <w:ilvl w:val="0"/>
          <w:numId w:val="32"/>
        </w:numPr>
        <w:snapToGrid w:val="0"/>
        <w:spacing w:after="0"/>
        <w:ind w:left="505" w:firstLineChars="0" w:hanging="505"/>
        <w:rPr>
          <w:rFonts w:ascii="Times New Roman" w:hAnsi="Times New Roman"/>
        </w:rPr>
      </w:pPr>
      <w:r w:rsidRPr="00EF008E">
        <w:rPr>
          <w:rFonts w:ascii="Times New Roman" w:hAnsi="Times New Roman"/>
        </w:rPr>
        <w:t>R2-2404102</w:t>
      </w:r>
      <w:r w:rsidRPr="00EF008E">
        <w:rPr>
          <w:rFonts w:ascii="Times New Roman" w:hAnsi="Times New Roman"/>
        </w:rPr>
        <w:tab/>
        <w:t>RAN2#125bis Meeting Report</w:t>
      </w:r>
    </w:p>
    <w:p w:rsidR="00B60ED9" w:rsidRDefault="00C17EC6">
      <w:pPr>
        <w:pStyle w:val="af9"/>
        <w:numPr>
          <w:ilvl w:val="0"/>
          <w:numId w:val="32"/>
        </w:numPr>
        <w:snapToGrid w:val="0"/>
        <w:spacing w:after="0"/>
        <w:ind w:left="505" w:firstLineChars="0" w:hanging="505"/>
        <w:rPr>
          <w:rFonts w:ascii="Times New Roman" w:hAnsi="Times New Roman"/>
        </w:rPr>
      </w:pPr>
      <w:r w:rsidRPr="00EF008E">
        <w:rPr>
          <w:rFonts w:ascii="Times New Roman" w:hAnsi="Times New Roman"/>
        </w:rPr>
        <w:t>R2-126 NR-NTN-IoT-NTN (Sergio) EOM</w:t>
      </w:r>
    </w:p>
    <w:p w:rsidR="00B60ED9" w:rsidRDefault="00B60ED9">
      <w:pPr>
        <w:snapToGrid w:val="0"/>
        <w:spacing w:after="0"/>
        <w:rPr>
          <w:rFonts w:eastAsiaTheme="minorEastAsia"/>
          <w:szCs w:val="20"/>
        </w:rPr>
      </w:pPr>
    </w:p>
    <w:p w:rsidR="00B60ED9" w:rsidRDefault="00C17EC6">
      <w:pPr>
        <w:pStyle w:val="1"/>
        <w:keepNext w:val="0"/>
        <w:widowControl w:val="0"/>
        <w:tabs>
          <w:tab w:val="left" w:pos="432"/>
        </w:tabs>
        <w:autoSpaceDE w:val="0"/>
        <w:autoSpaceDN w:val="0"/>
        <w:adjustRightInd w:val="0"/>
        <w:snapToGrid w:val="0"/>
        <w:spacing w:beforeLines="50" w:before="120" w:afterLines="50" w:line="259" w:lineRule="auto"/>
        <w:rPr>
          <w:rFonts w:eastAsiaTheme="minorEastAsia"/>
          <w:szCs w:val="20"/>
        </w:rPr>
      </w:pPr>
      <w:r>
        <w:rPr>
          <w:rFonts w:eastAsiaTheme="minorEastAsia"/>
          <w:szCs w:val="20"/>
        </w:rPr>
        <w:t xml:space="preserve">Appendix </w:t>
      </w:r>
    </w:p>
    <w:p w:rsidR="00B60ED9" w:rsidRDefault="00B60ED9">
      <w:pPr>
        <w:snapToGrid w:val="0"/>
        <w:spacing w:after="0"/>
        <w:rPr>
          <w:rFonts w:eastAsiaTheme="minorEastAsia"/>
          <w:szCs w:val="20"/>
        </w:rPr>
      </w:pPr>
    </w:p>
    <w:tbl>
      <w:tblPr>
        <w:tblStyle w:val="af4"/>
        <w:tblW w:w="0" w:type="auto"/>
        <w:tblLook w:val="04A0" w:firstRow="1" w:lastRow="0" w:firstColumn="1" w:lastColumn="0" w:noHBand="0" w:noVBand="1"/>
      </w:tblPr>
      <w:tblGrid>
        <w:gridCol w:w="9060"/>
      </w:tblGrid>
      <w:tr w:rsidR="00B60ED9">
        <w:tc>
          <w:tcPr>
            <w:tcW w:w="9060" w:type="dxa"/>
          </w:tcPr>
          <w:p w:rsidR="00B60ED9" w:rsidRDefault="00C17EC6">
            <w:pPr>
              <w:spacing w:before="60" w:after="60"/>
              <w:rPr>
                <w:lang w:eastAsia="zh-CN"/>
              </w:rPr>
            </w:pPr>
            <w:r>
              <w:rPr>
                <w:highlight w:val="green"/>
                <w:lang w:eastAsia="zh-CN"/>
              </w:rPr>
              <w:t>Agreement</w:t>
            </w:r>
          </w:p>
          <w:p w:rsidR="00B60ED9" w:rsidRDefault="00C17EC6">
            <w:pPr>
              <w:spacing w:before="60" w:after="60"/>
              <w:rPr>
                <w:lang w:eastAsia="zh-CN"/>
              </w:rPr>
            </w:pPr>
            <w:r>
              <w:rPr>
                <w:lang w:eastAsia="zh-CN"/>
              </w:rPr>
              <w:t>For DL coverage study, consider the following additional reference satellite parameters scenarios for LEO600km Set1 in FR1 (i.e., S-band), referred to as Set1-1 FR1, Set1-2 FR1 and Set1-3 FR1:</w:t>
            </w:r>
          </w:p>
          <w:p w:rsidR="00B60ED9" w:rsidRDefault="00B60ED9">
            <w:pPr>
              <w:spacing w:before="60" w:after="60"/>
              <w:rPr>
                <w:lang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60ED9">
              <w:trPr>
                <w:gridAfter w:val="1"/>
                <w:wAfter w:w="2306" w:type="dxa"/>
                <w:trHeight w:val="300"/>
                <w:jc w:val="center"/>
              </w:trPr>
              <w:tc>
                <w:tcPr>
                  <w:tcW w:w="6121" w:type="dxa"/>
                  <w:tcBorders>
                    <w:bottom w:val="single" w:sz="12" w:space="0" w:color="666666"/>
                  </w:tcBorders>
                  <w:shd w:val="clear" w:color="auto" w:fill="00B0F0"/>
                  <w:vAlign w:val="center"/>
                </w:tcPr>
                <w:p w:rsidR="00B60ED9" w:rsidRDefault="00C17EC6">
                  <w:pPr>
                    <w:spacing w:before="60" w:after="60"/>
                    <w:jc w:val="center"/>
                    <w:rPr>
                      <w:b/>
                      <w:bCs/>
                      <w:szCs w:val="20"/>
                    </w:rPr>
                  </w:pPr>
                  <w:r>
                    <w:rPr>
                      <w:kern w:val="24"/>
                      <w:szCs w:val="20"/>
                    </w:rPr>
                    <w:t xml:space="preserve"> </w:t>
                  </w:r>
                  <w:r>
                    <w:rPr>
                      <w:b/>
                      <w:kern w:val="24"/>
                      <w:szCs w:val="20"/>
                    </w:rPr>
                    <w:t>LEO600km Set1-1 FR1 (i.e., S-band)</w:t>
                  </w:r>
                </w:p>
              </w:tc>
            </w:tr>
            <w:tr w:rsidR="00B60ED9">
              <w:trPr>
                <w:trHeight w:val="179"/>
                <w:jc w:val="center"/>
              </w:trPr>
              <w:tc>
                <w:tcPr>
                  <w:tcW w:w="6121" w:type="dxa"/>
                  <w:shd w:val="clear" w:color="auto" w:fill="auto"/>
                  <w:vAlign w:val="center"/>
                </w:tcPr>
                <w:p w:rsidR="00B60ED9" w:rsidRDefault="00C17EC6">
                  <w:pPr>
                    <w:spacing w:before="60" w:after="60"/>
                    <w:rPr>
                      <w:b/>
                      <w:bCs/>
                      <w:szCs w:val="20"/>
                    </w:rPr>
                  </w:pPr>
                  <w:r>
                    <w:rPr>
                      <w:b/>
                      <w:kern w:val="24"/>
                      <w:szCs w:val="20"/>
                      <w:lang w:val="fr-FR"/>
                    </w:rPr>
                    <w:t>Maximum Bandwidth per beam</w:t>
                  </w:r>
                </w:p>
              </w:tc>
              <w:tc>
                <w:tcPr>
                  <w:tcW w:w="2306" w:type="dxa"/>
                  <w:shd w:val="clear" w:color="auto" w:fill="auto"/>
                  <w:vAlign w:val="center"/>
                </w:tcPr>
                <w:p w:rsidR="00B60ED9" w:rsidRDefault="00C17EC6">
                  <w:pPr>
                    <w:spacing w:before="60" w:after="60"/>
                    <w:jc w:val="center"/>
                    <w:rPr>
                      <w:szCs w:val="20"/>
                    </w:rPr>
                  </w:pPr>
                  <w:r>
                    <w:rPr>
                      <w:kern w:val="24"/>
                      <w:szCs w:val="20"/>
                      <w:lang w:val="fr-FR"/>
                    </w:rPr>
                    <w:t>5 MHz</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b/>
                      <w:kern w:val="24"/>
                      <w:szCs w:val="20"/>
                    </w:rPr>
                    <w:lastRenderedPageBreak/>
                    <w:t>SCS</w:t>
                  </w:r>
                </w:p>
              </w:tc>
              <w:tc>
                <w:tcPr>
                  <w:tcW w:w="2306" w:type="dxa"/>
                  <w:shd w:val="clear" w:color="auto" w:fill="auto"/>
                  <w:vAlign w:val="center"/>
                </w:tcPr>
                <w:p w:rsidR="00B60ED9" w:rsidRDefault="00C17EC6">
                  <w:pPr>
                    <w:spacing w:before="60" w:after="60"/>
                    <w:jc w:val="center"/>
                    <w:rPr>
                      <w:szCs w:val="20"/>
                    </w:rPr>
                  </w:pPr>
                  <w:r>
                    <w:rPr>
                      <w:kern w:val="24"/>
                      <w:szCs w:val="20"/>
                    </w:rPr>
                    <w:t>15 kHz</w:t>
                  </w:r>
                </w:p>
              </w:tc>
            </w:tr>
            <w:tr w:rsidR="00B60ED9">
              <w:trPr>
                <w:trHeight w:val="124"/>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lang w:val="fr-FR"/>
                    </w:rPr>
                    <w:t>Beam size(Note 1)</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lang w:val="fr-FR"/>
                    </w:rPr>
                    <w:t>50km</w:t>
                  </w:r>
                </w:p>
              </w:tc>
            </w:tr>
            <w:tr w:rsidR="00B60ED9">
              <w:trPr>
                <w:trHeight w:val="100"/>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Satellite EIRP density /beam (</w:t>
                  </w:r>
                  <w:proofErr w:type="spellStart"/>
                  <w:r>
                    <w:rPr>
                      <w:rFonts w:eastAsia="等线"/>
                      <w:b/>
                      <w:kern w:val="24"/>
                      <w:szCs w:val="20"/>
                    </w:rPr>
                    <w:t>dBW</w:t>
                  </w:r>
                  <w:proofErr w:type="spellEnd"/>
                  <w:r>
                    <w:rPr>
                      <w:rFonts w:eastAsia="等线"/>
                      <w:b/>
                      <w:kern w:val="24"/>
                      <w:szCs w:val="20"/>
                    </w:rPr>
                    <w:t>/MHz)</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lang w:val="fr-FR"/>
                    </w:rPr>
                    <w:t>34</w:t>
                  </w:r>
                </w:p>
              </w:tc>
            </w:tr>
            <w:tr w:rsidR="00B60ED9">
              <w:trPr>
                <w:trHeight w:val="218"/>
                <w:jc w:val="center"/>
              </w:trPr>
              <w:tc>
                <w:tcPr>
                  <w:tcW w:w="6121" w:type="dxa"/>
                  <w:shd w:val="clear" w:color="auto" w:fill="auto"/>
                  <w:vAlign w:val="center"/>
                </w:tcPr>
                <w:p w:rsidR="00B60ED9" w:rsidRDefault="00C17EC6">
                  <w:pPr>
                    <w:spacing w:before="60" w:after="60"/>
                    <w:rPr>
                      <w:b/>
                      <w:bCs/>
                      <w:szCs w:val="20"/>
                    </w:rPr>
                  </w:pPr>
                  <w:r>
                    <w:rPr>
                      <w:b/>
                      <w:kern w:val="24"/>
                      <w:szCs w:val="20"/>
                    </w:rPr>
                    <w:t>Payload Total DL power level (</w:t>
                  </w:r>
                  <w:proofErr w:type="spellStart"/>
                  <w:r>
                    <w:rPr>
                      <w:b/>
                      <w:kern w:val="24"/>
                      <w:szCs w:val="20"/>
                    </w:rPr>
                    <w:t>dBW</w:t>
                  </w:r>
                  <w:proofErr w:type="spellEnd"/>
                  <w:r>
                    <w:rPr>
                      <w:b/>
                      <w:kern w:val="24"/>
                      <w:szCs w:val="20"/>
                    </w:rPr>
                    <w:t>)</w:t>
                  </w:r>
                </w:p>
              </w:tc>
              <w:tc>
                <w:tcPr>
                  <w:tcW w:w="2306" w:type="dxa"/>
                  <w:shd w:val="clear" w:color="auto" w:fill="auto"/>
                  <w:vAlign w:val="center"/>
                </w:tcPr>
                <w:p w:rsidR="00B60ED9" w:rsidRDefault="00C17EC6">
                  <w:pPr>
                    <w:spacing w:before="60" w:after="60"/>
                    <w:jc w:val="center"/>
                    <w:rPr>
                      <w:szCs w:val="20"/>
                    </w:rPr>
                  </w:pPr>
                  <w:r>
                    <w:rPr>
                      <w:kern w:val="24"/>
                      <w:szCs w:val="20"/>
                    </w:rPr>
                    <w:t>31.24</w:t>
                  </w:r>
                </w:p>
              </w:tc>
            </w:tr>
            <w:tr w:rsidR="00B60ED9">
              <w:trPr>
                <w:trHeight w:val="194"/>
                <w:jc w:val="center"/>
              </w:trPr>
              <w:tc>
                <w:tcPr>
                  <w:tcW w:w="6121" w:type="dxa"/>
                  <w:shd w:val="clear" w:color="auto" w:fill="auto"/>
                  <w:vAlign w:val="center"/>
                </w:tcPr>
                <w:p w:rsidR="00B60ED9" w:rsidRDefault="00C17EC6">
                  <w:pPr>
                    <w:spacing w:before="60" w:after="60"/>
                    <w:rPr>
                      <w:b/>
                      <w:bCs/>
                      <w:szCs w:val="20"/>
                    </w:rPr>
                  </w:pPr>
                  <w:r>
                    <w:rPr>
                      <w:b/>
                      <w:kern w:val="24"/>
                      <w:szCs w:val="20"/>
                    </w:rPr>
                    <w:t>Aggregated EIRP (Total) (</w:t>
                  </w:r>
                  <w:proofErr w:type="spellStart"/>
                  <w:r>
                    <w:rPr>
                      <w:b/>
                      <w:kern w:val="24"/>
                      <w:szCs w:val="20"/>
                    </w:rPr>
                    <w:t>dBW</w:t>
                  </w:r>
                  <w:proofErr w:type="spellEnd"/>
                  <w:r>
                    <w:rPr>
                      <w:b/>
                      <w:kern w:val="24"/>
                      <w:szCs w:val="20"/>
                    </w:rPr>
                    <w:t>)</w:t>
                  </w:r>
                </w:p>
              </w:tc>
              <w:tc>
                <w:tcPr>
                  <w:tcW w:w="2306" w:type="dxa"/>
                  <w:shd w:val="clear" w:color="auto" w:fill="auto"/>
                  <w:vAlign w:val="center"/>
                </w:tcPr>
                <w:p w:rsidR="00B60ED9" w:rsidRDefault="00C17EC6">
                  <w:pPr>
                    <w:spacing w:before="60" w:after="60"/>
                    <w:jc w:val="center"/>
                    <w:rPr>
                      <w:szCs w:val="20"/>
                    </w:rPr>
                  </w:pPr>
                  <w:r>
                    <w:rPr>
                      <w:kern w:val="24"/>
                      <w:szCs w:val="20"/>
                    </w:rPr>
                    <w:t>61.24*</w:t>
                  </w:r>
                </w:p>
              </w:tc>
            </w:tr>
            <w:tr w:rsidR="00B60ED9">
              <w:trPr>
                <w:trHeight w:val="228"/>
                <w:jc w:val="center"/>
              </w:trPr>
              <w:tc>
                <w:tcPr>
                  <w:tcW w:w="6121" w:type="dxa"/>
                  <w:shd w:val="clear" w:color="auto" w:fill="auto"/>
                  <w:vAlign w:val="center"/>
                </w:tcPr>
                <w:p w:rsidR="00B60ED9" w:rsidRDefault="00C17EC6">
                  <w:pPr>
                    <w:spacing w:before="60" w:after="60"/>
                    <w:rPr>
                      <w:b/>
                      <w:bCs/>
                      <w:szCs w:val="20"/>
                    </w:rPr>
                  </w:pPr>
                  <w:r>
                    <w:rPr>
                      <w:b/>
                      <w:kern w:val="24"/>
                      <w:szCs w:val="20"/>
                    </w:rPr>
                    <w:t>Satellite Tx max Gain</w:t>
                  </w:r>
                </w:p>
              </w:tc>
              <w:tc>
                <w:tcPr>
                  <w:tcW w:w="2306" w:type="dxa"/>
                  <w:shd w:val="clear" w:color="auto" w:fill="auto"/>
                  <w:vAlign w:val="center"/>
                </w:tcPr>
                <w:p w:rsidR="00B60ED9" w:rsidRDefault="00C17EC6">
                  <w:pPr>
                    <w:spacing w:before="60" w:after="60"/>
                    <w:jc w:val="center"/>
                    <w:rPr>
                      <w:szCs w:val="20"/>
                    </w:rPr>
                  </w:pPr>
                  <w:r>
                    <w:rPr>
                      <w:kern w:val="24"/>
                      <w:szCs w:val="20"/>
                    </w:rPr>
                    <w:t xml:space="preserve">30 </w:t>
                  </w:r>
                  <w:proofErr w:type="spellStart"/>
                  <w:r>
                    <w:rPr>
                      <w:kern w:val="24"/>
                      <w:szCs w:val="20"/>
                    </w:rPr>
                    <w:t>dBi</w:t>
                  </w:r>
                  <w:proofErr w:type="spellEnd"/>
                </w:p>
              </w:tc>
            </w:tr>
            <w:tr w:rsidR="00B60ED9">
              <w:trPr>
                <w:trHeight w:val="120"/>
                <w:jc w:val="center"/>
              </w:trPr>
              <w:tc>
                <w:tcPr>
                  <w:tcW w:w="6121" w:type="dxa"/>
                  <w:shd w:val="clear" w:color="auto" w:fill="auto"/>
                  <w:vAlign w:val="center"/>
                </w:tcPr>
                <w:p w:rsidR="00B60ED9" w:rsidRDefault="00C17EC6">
                  <w:pPr>
                    <w:spacing w:before="60" w:after="60"/>
                    <w:rPr>
                      <w:b/>
                      <w:bCs/>
                      <w:szCs w:val="20"/>
                      <w:lang w:val="de-DE"/>
                    </w:rPr>
                  </w:pPr>
                  <w:r>
                    <w:rPr>
                      <w:b/>
                      <w:kern w:val="24"/>
                      <w:szCs w:val="20"/>
                      <w:lang w:val="de-DE"/>
                    </w:rPr>
                    <w:t>Maximum EIRP per Satellite beam (dBW)</w:t>
                  </w:r>
                </w:p>
              </w:tc>
              <w:tc>
                <w:tcPr>
                  <w:tcW w:w="2306" w:type="dxa"/>
                  <w:shd w:val="clear" w:color="auto" w:fill="auto"/>
                  <w:vAlign w:val="center"/>
                </w:tcPr>
                <w:p w:rsidR="00B60ED9" w:rsidRDefault="00C17EC6">
                  <w:pPr>
                    <w:spacing w:before="60" w:after="60"/>
                    <w:jc w:val="center"/>
                    <w:rPr>
                      <w:szCs w:val="20"/>
                    </w:rPr>
                  </w:pPr>
                  <w:r>
                    <w:rPr>
                      <w:kern w:val="24"/>
                      <w:szCs w:val="20"/>
                      <w:lang w:val="fr-FR"/>
                    </w:rPr>
                    <w:t>41</w:t>
                  </w:r>
                </w:p>
              </w:tc>
            </w:tr>
            <w:tr w:rsidR="00B60ED9">
              <w:trPr>
                <w:trHeight w:val="154"/>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Total number of beam footprints***</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1058</w:t>
                  </w:r>
                </w:p>
              </w:tc>
            </w:tr>
            <w:tr w:rsidR="00B60ED9">
              <w:trPr>
                <w:trHeight w:val="132"/>
                <w:jc w:val="center"/>
              </w:trPr>
              <w:tc>
                <w:tcPr>
                  <w:tcW w:w="6121" w:type="dxa"/>
                  <w:shd w:val="clear" w:color="auto" w:fill="auto"/>
                  <w:vAlign w:val="center"/>
                </w:tcPr>
                <w:p w:rsidR="00B60ED9" w:rsidRDefault="00C17EC6">
                  <w:pPr>
                    <w:spacing w:before="60" w:after="60"/>
                    <w:rPr>
                      <w:b/>
                      <w:bCs/>
                      <w:szCs w:val="20"/>
                    </w:rPr>
                  </w:pPr>
                  <w:r>
                    <w:rPr>
                      <w:b/>
                      <w:kern w:val="24"/>
                      <w:szCs w:val="20"/>
                    </w:rPr>
                    <w:t>Total number of simultaneously active beams **</w:t>
                  </w:r>
                </w:p>
              </w:tc>
              <w:tc>
                <w:tcPr>
                  <w:tcW w:w="2306" w:type="dxa"/>
                  <w:shd w:val="clear" w:color="auto" w:fill="auto"/>
                  <w:vAlign w:val="center"/>
                </w:tcPr>
                <w:p w:rsidR="00B60ED9" w:rsidRDefault="00C17EC6">
                  <w:pPr>
                    <w:spacing w:before="60" w:after="60"/>
                    <w:jc w:val="center"/>
                    <w:rPr>
                      <w:szCs w:val="20"/>
                    </w:rPr>
                  </w:pPr>
                  <w:r>
                    <w:rPr>
                      <w:kern w:val="24"/>
                      <w:szCs w:val="20"/>
                      <w:lang w:val="fr-FR"/>
                    </w:rPr>
                    <w:t>106</w:t>
                  </w:r>
                </w:p>
              </w:tc>
            </w:tr>
            <w:tr w:rsidR="00B60ED9">
              <w:trPr>
                <w:trHeight w:val="110"/>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lang w:val="fr-FR"/>
                    </w:rPr>
                    <w:t>% simultaneously active beams**</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lang w:val="fr-FR"/>
                    </w:rPr>
                    <w:t>10.02 %</w:t>
                  </w:r>
                </w:p>
              </w:tc>
            </w:tr>
            <w:tr w:rsidR="00B60ED9">
              <w:trPr>
                <w:trHeight w:val="439"/>
                <w:jc w:val="center"/>
              </w:trPr>
              <w:tc>
                <w:tcPr>
                  <w:tcW w:w="8427" w:type="dxa"/>
                  <w:gridSpan w:val="2"/>
                  <w:shd w:val="clear" w:color="auto" w:fill="auto"/>
                  <w:vAlign w:val="center"/>
                </w:tcPr>
                <w:p w:rsidR="00B60ED9" w:rsidRDefault="00C17EC6">
                  <w:pPr>
                    <w:spacing w:before="60" w:after="60"/>
                    <w:ind w:left="850" w:hanging="850"/>
                    <w:rPr>
                      <w:b/>
                      <w:bCs/>
                      <w:szCs w:val="20"/>
                    </w:rPr>
                  </w:pPr>
                  <w:r>
                    <w:rPr>
                      <w:kern w:val="24"/>
                      <w:szCs w:val="20"/>
                    </w:rPr>
                    <w:t>*</w:t>
                  </w:r>
                  <w:r>
                    <w:rPr>
                      <w:b/>
                      <w:kern w:val="24"/>
                      <w:szCs w:val="20"/>
                    </w:rPr>
                    <w:t xml:space="preserve">Note: EIRP limit is 61.24 dBm for the reference configuration. </w:t>
                  </w:r>
                </w:p>
                <w:p w:rsidR="00B60ED9" w:rsidRDefault="00C17EC6">
                  <w:pPr>
                    <w:spacing w:before="60" w:after="6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rsidR="00B60ED9" w:rsidRDefault="00C17EC6">
                  <w:pPr>
                    <w:spacing w:before="60" w:after="60"/>
                    <w:rPr>
                      <w:b/>
                      <w:bCs/>
                      <w:kern w:val="24"/>
                      <w:szCs w:val="20"/>
                    </w:rPr>
                  </w:pPr>
                  <w:r>
                    <w:rPr>
                      <w:b/>
                      <w:kern w:val="24"/>
                      <w:szCs w:val="20"/>
                    </w:rPr>
                    <w:t>*** For a constellation design at 600km with low elevation angle with 30° and selected (</w:t>
                  </w:r>
                  <w:proofErr w:type="spellStart"/>
                  <w:r>
                    <w:rPr>
                      <w:b/>
                      <w:kern w:val="24"/>
                      <w:szCs w:val="20"/>
                    </w:rPr>
                    <w:t>i.e</w:t>
                  </w:r>
                  <w:proofErr w:type="spellEnd"/>
                  <w:r>
                    <w:rPr>
                      <w:b/>
                      <w:kern w:val="24"/>
                      <w:szCs w:val="20"/>
                    </w:rPr>
                    <w:t xml:space="preserve"> Set 1 parameters) beam size</w:t>
                  </w:r>
                </w:p>
                <w:p w:rsidR="00B60ED9" w:rsidRDefault="00C17EC6">
                  <w:pPr>
                    <w:spacing w:before="60" w:after="6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rsidR="00B60ED9" w:rsidRDefault="00B60ED9">
                  <w:pPr>
                    <w:spacing w:before="60" w:after="60"/>
                    <w:rPr>
                      <w:rFonts w:eastAsia="等线"/>
                      <w:b/>
                      <w:bCs/>
                      <w:kern w:val="24"/>
                      <w:szCs w:val="20"/>
                    </w:rPr>
                  </w:pPr>
                </w:p>
              </w:tc>
            </w:tr>
          </w:tbl>
          <w:p w:rsidR="00B60ED9" w:rsidRDefault="00B60ED9">
            <w:pPr>
              <w:pStyle w:val="af2"/>
              <w:spacing w:before="60" w:beforeAutospacing="0" w:after="60" w:afterAutospacing="0"/>
              <w:jc w:val="both"/>
              <w:rPr>
                <w:rFonts w:ascii="Times" w:eastAsia="Batang" w:hAnsi="Times" w:cs="Times New Roman"/>
                <w:sz w:val="20"/>
                <w:lang w:val="en-G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60ED9">
              <w:trPr>
                <w:gridAfter w:val="1"/>
                <w:wAfter w:w="2306" w:type="dxa"/>
                <w:trHeight w:val="300"/>
                <w:jc w:val="center"/>
              </w:trPr>
              <w:tc>
                <w:tcPr>
                  <w:tcW w:w="6121" w:type="dxa"/>
                  <w:tcBorders>
                    <w:bottom w:val="single" w:sz="12" w:space="0" w:color="666666"/>
                  </w:tcBorders>
                  <w:shd w:val="clear" w:color="auto" w:fill="00B0F0"/>
                  <w:vAlign w:val="center"/>
                </w:tcPr>
                <w:p w:rsidR="00B60ED9" w:rsidRDefault="00C17EC6">
                  <w:pPr>
                    <w:spacing w:before="60" w:after="60"/>
                    <w:jc w:val="center"/>
                    <w:rPr>
                      <w:b/>
                      <w:bCs/>
                      <w:szCs w:val="20"/>
                    </w:rPr>
                  </w:pPr>
                  <w:r>
                    <w:rPr>
                      <w:b/>
                      <w:kern w:val="24"/>
                      <w:szCs w:val="20"/>
                    </w:rPr>
                    <w:t>LEO600km Set1-2 FR1 (i.e., S-band)</w:t>
                  </w:r>
                </w:p>
              </w:tc>
            </w:tr>
            <w:tr w:rsidR="00B60ED9">
              <w:trPr>
                <w:trHeight w:val="54"/>
                <w:jc w:val="center"/>
              </w:trPr>
              <w:tc>
                <w:tcPr>
                  <w:tcW w:w="6121" w:type="dxa"/>
                  <w:shd w:val="clear" w:color="auto" w:fill="auto"/>
                  <w:vAlign w:val="center"/>
                </w:tcPr>
                <w:p w:rsidR="00B60ED9" w:rsidRDefault="00C17EC6">
                  <w:pPr>
                    <w:spacing w:before="60" w:after="60"/>
                    <w:rPr>
                      <w:b/>
                      <w:bCs/>
                      <w:szCs w:val="20"/>
                    </w:rPr>
                  </w:pPr>
                  <w:r>
                    <w:rPr>
                      <w:b/>
                      <w:kern w:val="24"/>
                      <w:szCs w:val="20"/>
                    </w:rPr>
                    <w:t>Maximum Bandwidth per beam</w:t>
                  </w:r>
                </w:p>
              </w:tc>
              <w:tc>
                <w:tcPr>
                  <w:tcW w:w="2306" w:type="dxa"/>
                  <w:shd w:val="clear" w:color="auto" w:fill="auto"/>
                  <w:vAlign w:val="center"/>
                </w:tcPr>
                <w:p w:rsidR="00B60ED9" w:rsidRDefault="00C17EC6">
                  <w:pPr>
                    <w:spacing w:before="60" w:after="60"/>
                    <w:jc w:val="center"/>
                    <w:rPr>
                      <w:szCs w:val="20"/>
                    </w:rPr>
                  </w:pPr>
                  <w:r>
                    <w:rPr>
                      <w:kern w:val="24"/>
                      <w:szCs w:val="20"/>
                    </w:rPr>
                    <w:t>5 MHz</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b/>
                      <w:kern w:val="24"/>
                      <w:szCs w:val="20"/>
                    </w:rPr>
                    <w:t>SCS</w:t>
                  </w:r>
                </w:p>
              </w:tc>
              <w:tc>
                <w:tcPr>
                  <w:tcW w:w="2306" w:type="dxa"/>
                  <w:shd w:val="clear" w:color="auto" w:fill="auto"/>
                  <w:vAlign w:val="center"/>
                </w:tcPr>
                <w:p w:rsidR="00B60ED9" w:rsidRDefault="00C17EC6">
                  <w:pPr>
                    <w:spacing w:before="60" w:after="60"/>
                    <w:jc w:val="center"/>
                    <w:rPr>
                      <w:szCs w:val="20"/>
                    </w:rPr>
                  </w:pPr>
                  <w:r>
                    <w:rPr>
                      <w:kern w:val="24"/>
                      <w:szCs w:val="20"/>
                    </w:rPr>
                    <w:t>15 kHz</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Beam size (note 1)</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50km</w:t>
                  </w:r>
                </w:p>
              </w:tc>
            </w:tr>
            <w:tr w:rsidR="00B60ED9">
              <w:trPr>
                <w:trHeight w:val="56"/>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Satellite EIRP density /beam (</w:t>
                  </w:r>
                  <w:proofErr w:type="spellStart"/>
                  <w:r>
                    <w:rPr>
                      <w:rFonts w:eastAsia="等线"/>
                      <w:b/>
                      <w:kern w:val="24"/>
                      <w:szCs w:val="20"/>
                    </w:rPr>
                    <w:t>dBW</w:t>
                  </w:r>
                  <w:proofErr w:type="spellEnd"/>
                  <w:r>
                    <w:rPr>
                      <w:rFonts w:eastAsia="等线"/>
                      <w:b/>
                      <w:kern w:val="24"/>
                      <w:szCs w:val="20"/>
                    </w:rPr>
                    <w:t>/MHz)</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34</w:t>
                  </w:r>
                </w:p>
              </w:tc>
            </w:tr>
            <w:tr w:rsidR="00B60ED9">
              <w:trPr>
                <w:trHeight w:val="88"/>
                <w:jc w:val="center"/>
              </w:trPr>
              <w:tc>
                <w:tcPr>
                  <w:tcW w:w="6121" w:type="dxa"/>
                  <w:shd w:val="clear" w:color="auto" w:fill="auto"/>
                  <w:vAlign w:val="center"/>
                </w:tcPr>
                <w:p w:rsidR="00B60ED9" w:rsidRDefault="00C17EC6">
                  <w:pPr>
                    <w:spacing w:before="60" w:after="60"/>
                    <w:rPr>
                      <w:b/>
                      <w:bCs/>
                      <w:szCs w:val="20"/>
                    </w:rPr>
                  </w:pPr>
                  <w:r>
                    <w:rPr>
                      <w:b/>
                      <w:kern w:val="24"/>
                      <w:szCs w:val="20"/>
                    </w:rPr>
                    <w:t>Payload Total DL power level (</w:t>
                  </w:r>
                  <w:proofErr w:type="spellStart"/>
                  <w:r>
                    <w:rPr>
                      <w:b/>
                      <w:kern w:val="24"/>
                      <w:szCs w:val="20"/>
                    </w:rPr>
                    <w:t>dBW</w:t>
                  </w:r>
                  <w:proofErr w:type="spellEnd"/>
                  <w:r>
                    <w:rPr>
                      <w:b/>
                      <w:kern w:val="24"/>
                      <w:szCs w:val="20"/>
                    </w:rPr>
                    <w:t>)</w:t>
                  </w:r>
                </w:p>
              </w:tc>
              <w:tc>
                <w:tcPr>
                  <w:tcW w:w="2306" w:type="dxa"/>
                  <w:shd w:val="clear" w:color="auto" w:fill="auto"/>
                  <w:vAlign w:val="center"/>
                </w:tcPr>
                <w:p w:rsidR="00B60ED9" w:rsidRDefault="00C17EC6">
                  <w:pPr>
                    <w:spacing w:before="60" w:after="60"/>
                    <w:jc w:val="center"/>
                    <w:rPr>
                      <w:szCs w:val="20"/>
                    </w:rPr>
                  </w:pPr>
                  <w:r>
                    <w:rPr>
                      <w:kern w:val="24"/>
                      <w:szCs w:val="20"/>
                    </w:rPr>
                    <w:t>23</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b/>
                      <w:kern w:val="24"/>
                      <w:szCs w:val="20"/>
                    </w:rPr>
                    <w:t>Aggregated EIRP (Total) (</w:t>
                  </w:r>
                  <w:proofErr w:type="spellStart"/>
                  <w:r>
                    <w:rPr>
                      <w:b/>
                      <w:kern w:val="24"/>
                      <w:szCs w:val="20"/>
                    </w:rPr>
                    <w:t>dBW</w:t>
                  </w:r>
                  <w:proofErr w:type="spellEnd"/>
                  <w:r>
                    <w:rPr>
                      <w:b/>
                      <w:kern w:val="24"/>
                      <w:szCs w:val="20"/>
                    </w:rPr>
                    <w:t>)</w:t>
                  </w:r>
                </w:p>
              </w:tc>
              <w:tc>
                <w:tcPr>
                  <w:tcW w:w="2306" w:type="dxa"/>
                  <w:shd w:val="clear" w:color="auto" w:fill="auto"/>
                  <w:vAlign w:val="center"/>
                </w:tcPr>
                <w:p w:rsidR="00B60ED9" w:rsidRDefault="00C17EC6">
                  <w:pPr>
                    <w:spacing w:before="60" w:after="60"/>
                    <w:jc w:val="center"/>
                    <w:rPr>
                      <w:szCs w:val="20"/>
                    </w:rPr>
                  </w:pPr>
                  <w:r>
                    <w:rPr>
                      <w:kern w:val="24"/>
                      <w:szCs w:val="20"/>
                    </w:rPr>
                    <w:t>53*</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b/>
                      <w:kern w:val="24"/>
                      <w:szCs w:val="20"/>
                    </w:rPr>
                    <w:t>Satellite Tx max Gain</w:t>
                  </w:r>
                </w:p>
              </w:tc>
              <w:tc>
                <w:tcPr>
                  <w:tcW w:w="2306" w:type="dxa"/>
                  <w:shd w:val="clear" w:color="auto" w:fill="auto"/>
                  <w:vAlign w:val="center"/>
                </w:tcPr>
                <w:p w:rsidR="00B60ED9" w:rsidRDefault="00C17EC6">
                  <w:pPr>
                    <w:spacing w:before="60" w:after="60"/>
                    <w:jc w:val="center"/>
                    <w:rPr>
                      <w:szCs w:val="20"/>
                    </w:rPr>
                  </w:pPr>
                  <w:r>
                    <w:rPr>
                      <w:kern w:val="24"/>
                      <w:szCs w:val="20"/>
                    </w:rPr>
                    <w:t xml:space="preserve">30 </w:t>
                  </w:r>
                  <w:proofErr w:type="spellStart"/>
                  <w:r>
                    <w:rPr>
                      <w:kern w:val="24"/>
                      <w:szCs w:val="20"/>
                    </w:rPr>
                    <w:t>dBi</w:t>
                  </w:r>
                  <w:proofErr w:type="spellEnd"/>
                </w:p>
              </w:tc>
            </w:tr>
            <w:tr w:rsidR="00B60ED9">
              <w:trPr>
                <w:trHeight w:val="37"/>
                <w:jc w:val="center"/>
              </w:trPr>
              <w:tc>
                <w:tcPr>
                  <w:tcW w:w="6121" w:type="dxa"/>
                  <w:shd w:val="clear" w:color="auto" w:fill="auto"/>
                  <w:vAlign w:val="center"/>
                </w:tcPr>
                <w:p w:rsidR="00B60ED9" w:rsidRDefault="00C17EC6">
                  <w:pPr>
                    <w:spacing w:before="60" w:after="60"/>
                    <w:rPr>
                      <w:b/>
                      <w:bCs/>
                      <w:szCs w:val="20"/>
                      <w:lang w:val="de-DE"/>
                    </w:rPr>
                  </w:pPr>
                  <w:r>
                    <w:rPr>
                      <w:b/>
                      <w:kern w:val="24"/>
                      <w:szCs w:val="20"/>
                      <w:lang w:val="de-DE"/>
                    </w:rPr>
                    <w:t>Maximum EIRP per Satellite beam (dBW)</w:t>
                  </w:r>
                </w:p>
              </w:tc>
              <w:tc>
                <w:tcPr>
                  <w:tcW w:w="2306" w:type="dxa"/>
                  <w:shd w:val="clear" w:color="auto" w:fill="auto"/>
                  <w:vAlign w:val="center"/>
                </w:tcPr>
                <w:p w:rsidR="00B60ED9" w:rsidRDefault="00C17EC6">
                  <w:pPr>
                    <w:spacing w:before="60" w:after="60"/>
                    <w:jc w:val="center"/>
                    <w:rPr>
                      <w:szCs w:val="20"/>
                    </w:rPr>
                  </w:pPr>
                  <w:r>
                    <w:rPr>
                      <w:kern w:val="24"/>
                      <w:szCs w:val="20"/>
                      <w:lang w:val="fr-FR"/>
                    </w:rPr>
                    <w:t>41</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Total number of beam footprints</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1058</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b/>
                      <w:kern w:val="24"/>
                      <w:szCs w:val="20"/>
                    </w:rPr>
                    <w:t>Total number of simultaneously active beams**</w:t>
                  </w:r>
                </w:p>
              </w:tc>
              <w:tc>
                <w:tcPr>
                  <w:tcW w:w="2306" w:type="dxa"/>
                  <w:shd w:val="clear" w:color="auto" w:fill="auto"/>
                  <w:vAlign w:val="center"/>
                </w:tcPr>
                <w:p w:rsidR="00B60ED9" w:rsidRDefault="00C17EC6">
                  <w:pPr>
                    <w:spacing w:before="60" w:after="60"/>
                    <w:jc w:val="center"/>
                    <w:rPr>
                      <w:szCs w:val="20"/>
                    </w:rPr>
                  </w:pPr>
                  <w:r>
                    <w:rPr>
                      <w:kern w:val="24"/>
                      <w:szCs w:val="20"/>
                      <w:lang w:val="fr-FR"/>
                    </w:rPr>
                    <w:t>16</w:t>
                  </w:r>
                </w:p>
              </w:tc>
            </w:tr>
            <w:tr w:rsidR="00B60ED9">
              <w:trPr>
                <w:trHeight w:val="126"/>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lang w:val="fr-FR"/>
                    </w:rPr>
                    <w:t>% simultaneously active beams**</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1.5 %</w:t>
                  </w:r>
                </w:p>
              </w:tc>
            </w:tr>
            <w:tr w:rsidR="00B60ED9">
              <w:trPr>
                <w:trHeight w:val="37"/>
                <w:jc w:val="center"/>
              </w:trPr>
              <w:tc>
                <w:tcPr>
                  <w:tcW w:w="8427" w:type="dxa"/>
                  <w:gridSpan w:val="2"/>
                  <w:shd w:val="clear" w:color="auto" w:fill="auto"/>
                  <w:vAlign w:val="center"/>
                </w:tcPr>
                <w:p w:rsidR="00B60ED9" w:rsidRDefault="00C17EC6">
                  <w:pPr>
                    <w:spacing w:before="60" w:after="60"/>
                    <w:ind w:left="850" w:hanging="850"/>
                    <w:rPr>
                      <w:b/>
                      <w:bCs/>
                      <w:kern w:val="24"/>
                      <w:szCs w:val="20"/>
                    </w:rPr>
                  </w:pPr>
                  <w:r>
                    <w:rPr>
                      <w:b/>
                      <w:kern w:val="24"/>
                      <w:szCs w:val="20"/>
                    </w:rPr>
                    <w:t xml:space="preserve">*Note: EIRP limit is 53 dBm for the reference configuration. </w:t>
                  </w:r>
                </w:p>
                <w:p w:rsidR="00B60ED9" w:rsidRDefault="00C17EC6">
                  <w:pPr>
                    <w:spacing w:before="60" w:after="60"/>
                    <w:rPr>
                      <w:rFonts w:eastAsia="等线"/>
                      <w:b/>
                      <w:bCs/>
                      <w:kern w:val="24"/>
                      <w:szCs w:val="20"/>
                    </w:rPr>
                  </w:pPr>
                  <w:r>
                    <w:rPr>
                      <w:b/>
                      <w:kern w:val="24"/>
                      <w:szCs w:val="20"/>
                    </w:rPr>
                    <w:t>**Absolute number of simultaneously active beams is up to 16 (due to limitation of RF)</w:t>
                  </w:r>
                </w:p>
                <w:p w:rsidR="00B60ED9" w:rsidRDefault="00C17EC6">
                  <w:pPr>
                    <w:spacing w:before="60" w:after="6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rsidR="00B60ED9" w:rsidRDefault="00B60ED9">
                  <w:pPr>
                    <w:spacing w:before="60" w:after="60"/>
                    <w:rPr>
                      <w:rFonts w:eastAsia="等线"/>
                      <w:b/>
                      <w:bCs/>
                      <w:kern w:val="24"/>
                      <w:szCs w:val="20"/>
                    </w:rPr>
                  </w:pPr>
                </w:p>
              </w:tc>
            </w:tr>
          </w:tbl>
          <w:p w:rsidR="00B60ED9" w:rsidRDefault="00B60ED9">
            <w:pPr>
              <w:pStyle w:val="af2"/>
              <w:spacing w:before="60" w:beforeAutospacing="0" w:after="60" w:afterAutospacing="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60ED9">
              <w:trPr>
                <w:gridAfter w:val="1"/>
                <w:wAfter w:w="2306" w:type="dxa"/>
                <w:trHeight w:val="300"/>
                <w:jc w:val="center"/>
              </w:trPr>
              <w:tc>
                <w:tcPr>
                  <w:tcW w:w="6121" w:type="dxa"/>
                  <w:tcBorders>
                    <w:bottom w:val="single" w:sz="12" w:space="0" w:color="666666"/>
                  </w:tcBorders>
                  <w:shd w:val="clear" w:color="auto" w:fill="00B0F0"/>
                  <w:vAlign w:val="center"/>
                </w:tcPr>
                <w:p w:rsidR="00B60ED9" w:rsidRDefault="00C17EC6">
                  <w:pPr>
                    <w:spacing w:before="60" w:after="60"/>
                    <w:jc w:val="center"/>
                    <w:rPr>
                      <w:b/>
                      <w:bCs/>
                      <w:szCs w:val="20"/>
                    </w:rPr>
                  </w:pPr>
                  <w:r>
                    <w:rPr>
                      <w:b/>
                      <w:kern w:val="24"/>
                      <w:szCs w:val="20"/>
                    </w:rPr>
                    <w:t>LEO600km Set 1-3 FR1 (i.e., S-band)</w:t>
                  </w:r>
                </w:p>
              </w:tc>
            </w:tr>
            <w:tr w:rsidR="00B60ED9">
              <w:trPr>
                <w:trHeight w:val="145"/>
                <w:jc w:val="center"/>
              </w:trPr>
              <w:tc>
                <w:tcPr>
                  <w:tcW w:w="6121" w:type="dxa"/>
                  <w:shd w:val="clear" w:color="auto" w:fill="auto"/>
                  <w:vAlign w:val="center"/>
                </w:tcPr>
                <w:p w:rsidR="00B60ED9" w:rsidRDefault="00C17EC6">
                  <w:pPr>
                    <w:spacing w:before="60" w:after="60"/>
                    <w:rPr>
                      <w:b/>
                      <w:bCs/>
                      <w:szCs w:val="20"/>
                    </w:rPr>
                  </w:pPr>
                  <w:r>
                    <w:rPr>
                      <w:b/>
                      <w:kern w:val="24"/>
                      <w:szCs w:val="20"/>
                    </w:rPr>
                    <w:t>Maximum Bandwidth per beam</w:t>
                  </w:r>
                </w:p>
              </w:tc>
              <w:tc>
                <w:tcPr>
                  <w:tcW w:w="2306" w:type="dxa"/>
                  <w:shd w:val="clear" w:color="auto" w:fill="auto"/>
                  <w:vAlign w:val="center"/>
                </w:tcPr>
                <w:p w:rsidR="00B60ED9" w:rsidRDefault="00C17EC6">
                  <w:pPr>
                    <w:spacing w:before="60" w:after="60"/>
                    <w:jc w:val="center"/>
                    <w:rPr>
                      <w:szCs w:val="20"/>
                    </w:rPr>
                  </w:pPr>
                  <w:r>
                    <w:rPr>
                      <w:kern w:val="24"/>
                      <w:szCs w:val="20"/>
                    </w:rPr>
                    <w:t>5 MHz</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b/>
                      <w:kern w:val="24"/>
                      <w:szCs w:val="20"/>
                    </w:rPr>
                    <w:t>SCS</w:t>
                  </w:r>
                </w:p>
              </w:tc>
              <w:tc>
                <w:tcPr>
                  <w:tcW w:w="2306" w:type="dxa"/>
                  <w:shd w:val="clear" w:color="auto" w:fill="auto"/>
                  <w:vAlign w:val="center"/>
                </w:tcPr>
                <w:p w:rsidR="00B60ED9" w:rsidRDefault="00C17EC6">
                  <w:pPr>
                    <w:spacing w:before="60" w:after="60"/>
                    <w:jc w:val="center"/>
                    <w:rPr>
                      <w:szCs w:val="20"/>
                    </w:rPr>
                  </w:pPr>
                  <w:r>
                    <w:rPr>
                      <w:kern w:val="24"/>
                      <w:szCs w:val="20"/>
                    </w:rPr>
                    <w:t>15 kHz</w:t>
                  </w:r>
                </w:p>
              </w:tc>
            </w:tr>
            <w:tr w:rsidR="00B60ED9">
              <w:trPr>
                <w:trHeight w:val="104"/>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Beam size (note 1)</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50km</w:t>
                  </w:r>
                </w:p>
              </w:tc>
            </w:tr>
            <w:tr w:rsidR="00B60ED9">
              <w:trPr>
                <w:trHeight w:val="80"/>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Satellite EIRP density /beam (</w:t>
                  </w:r>
                  <w:proofErr w:type="spellStart"/>
                  <w:r>
                    <w:rPr>
                      <w:rFonts w:eastAsia="等线"/>
                      <w:b/>
                      <w:kern w:val="24"/>
                      <w:szCs w:val="20"/>
                    </w:rPr>
                    <w:t>dBW</w:t>
                  </w:r>
                  <w:proofErr w:type="spellEnd"/>
                  <w:r>
                    <w:rPr>
                      <w:rFonts w:eastAsia="等线"/>
                      <w:b/>
                      <w:kern w:val="24"/>
                      <w:szCs w:val="20"/>
                    </w:rPr>
                    <w:t>/MHz)</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26</w:t>
                  </w:r>
                </w:p>
              </w:tc>
            </w:tr>
            <w:tr w:rsidR="00B60ED9">
              <w:trPr>
                <w:trHeight w:val="183"/>
                <w:jc w:val="center"/>
              </w:trPr>
              <w:tc>
                <w:tcPr>
                  <w:tcW w:w="6121" w:type="dxa"/>
                  <w:shd w:val="clear" w:color="auto" w:fill="auto"/>
                  <w:vAlign w:val="center"/>
                </w:tcPr>
                <w:p w:rsidR="00B60ED9" w:rsidRDefault="00C17EC6">
                  <w:pPr>
                    <w:spacing w:before="60" w:after="60"/>
                    <w:rPr>
                      <w:b/>
                      <w:bCs/>
                      <w:szCs w:val="20"/>
                    </w:rPr>
                  </w:pPr>
                  <w:r>
                    <w:rPr>
                      <w:b/>
                      <w:kern w:val="24"/>
                      <w:szCs w:val="20"/>
                    </w:rPr>
                    <w:lastRenderedPageBreak/>
                    <w:t>Payload Total DL power level (</w:t>
                  </w:r>
                  <w:proofErr w:type="spellStart"/>
                  <w:r>
                    <w:rPr>
                      <w:b/>
                      <w:kern w:val="24"/>
                      <w:szCs w:val="20"/>
                    </w:rPr>
                    <w:t>dBW</w:t>
                  </w:r>
                  <w:proofErr w:type="spellEnd"/>
                  <w:r>
                    <w:rPr>
                      <w:b/>
                      <w:kern w:val="24"/>
                      <w:szCs w:val="20"/>
                    </w:rPr>
                    <w:t>)</w:t>
                  </w:r>
                </w:p>
              </w:tc>
              <w:tc>
                <w:tcPr>
                  <w:tcW w:w="2306" w:type="dxa"/>
                  <w:shd w:val="clear" w:color="auto" w:fill="auto"/>
                  <w:vAlign w:val="center"/>
                </w:tcPr>
                <w:p w:rsidR="00B60ED9" w:rsidRDefault="00C17EC6">
                  <w:pPr>
                    <w:spacing w:before="60" w:after="60"/>
                    <w:jc w:val="center"/>
                    <w:rPr>
                      <w:szCs w:val="20"/>
                    </w:rPr>
                  </w:pPr>
                  <w:r>
                    <w:rPr>
                      <w:kern w:val="24"/>
                      <w:szCs w:val="20"/>
                    </w:rPr>
                    <w:t>23.24</w:t>
                  </w:r>
                </w:p>
              </w:tc>
            </w:tr>
            <w:tr w:rsidR="00B60ED9">
              <w:trPr>
                <w:trHeight w:val="160"/>
                <w:jc w:val="center"/>
              </w:trPr>
              <w:tc>
                <w:tcPr>
                  <w:tcW w:w="6121" w:type="dxa"/>
                  <w:shd w:val="clear" w:color="auto" w:fill="auto"/>
                  <w:vAlign w:val="center"/>
                </w:tcPr>
                <w:p w:rsidR="00B60ED9" w:rsidRDefault="00C17EC6">
                  <w:pPr>
                    <w:spacing w:before="60" w:after="60"/>
                    <w:rPr>
                      <w:b/>
                      <w:bCs/>
                      <w:szCs w:val="20"/>
                    </w:rPr>
                  </w:pPr>
                  <w:r>
                    <w:rPr>
                      <w:b/>
                      <w:kern w:val="24"/>
                      <w:szCs w:val="20"/>
                    </w:rPr>
                    <w:t>Aggregated EIRP (Total) (</w:t>
                  </w:r>
                  <w:proofErr w:type="spellStart"/>
                  <w:r>
                    <w:rPr>
                      <w:b/>
                      <w:kern w:val="24"/>
                      <w:szCs w:val="20"/>
                    </w:rPr>
                    <w:t>dBW</w:t>
                  </w:r>
                  <w:proofErr w:type="spellEnd"/>
                  <w:r>
                    <w:rPr>
                      <w:b/>
                      <w:kern w:val="24"/>
                      <w:szCs w:val="20"/>
                    </w:rPr>
                    <w:t>)</w:t>
                  </w:r>
                </w:p>
              </w:tc>
              <w:tc>
                <w:tcPr>
                  <w:tcW w:w="2306" w:type="dxa"/>
                  <w:shd w:val="clear" w:color="auto" w:fill="auto"/>
                  <w:vAlign w:val="center"/>
                </w:tcPr>
                <w:p w:rsidR="00B60ED9" w:rsidRDefault="00C17EC6">
                  <w:pPr>
                    <w:spacing w:before="60" w:after="60"/>
                    <w:jc w:val="center"/>
                    <w:rPr>
                      <w:szCs w:val="20"/>
                    </w:rPr>
                  </w:pPr>
                  <w:r>
                    <w:rPr>
                      <w:kern w:val="24"/>
                      <w:szCs w:val="20"/>
                    </w:rPr>
                    <w:t>53.24*</w:t>
                  </w:r>
                </w:p>
              </w:tc>
            </w:tr>
            <w:tr w:rsidR="00B60ED9">
              <w:trPr>
                <w:trHeight w:val="66"/>
                <w:jc w:val="center"/>
              </w:trPr>
              <w:tc>
                <w:tcPr>
                  <w:tcW w:w="6121" w:type="dxa"/>
                  <w:shd w:val="clear" w:color="auto" w:fill="auto"/>
                  <w:vAlign w:val="center"/>
                </w:tcPr>
                <w:p w:rsidR="00B60ED9" w:rsidRDefault="00C17EC6">
                  <w:pPr>
                    <w:spacing w:before="60" w:after="60"/>
                    <w:rPr>
                      <w:b/>
                      <w:bCs/>
                      <w:szCs w:val="20"/>
                    </w:rPr>
                  </w:pPr>
                  <w:r>
                    <w:rPr>
                      <w:b/>
                      <w:kern w:val="24"/>
                      <w:szCs w:val="20"/>
                    </w:rPr>
                    <w:t>Satellite Tx max Gain</w:t>
                  </w:r>
                </w:p>
              </w:tc>
              <w:tc>
                <w:tcPr>
                  <w:tcW w:w="2306" w:type="dxa"/>
                  <w:shd w:val="clear" w:color="auto" w:fill="auto"/>
                  <w:vAlign w:val="center"/>
                </w:tcPr>
                <w:p w:rsidR="00B60ED9" w:rsidRDefault="00C17EC6">
                  <w:pPr>
                    <w:spacing w:before="60" w:after="60"/>
                    <w:jc w:val="center"/>
                    <w:rPr>
                      <w:szCs w:val="20"/>
                    </w:rPr>
                  </w:pPr>
                  <w:r>
                    <w:rPr>
                      <w:kern w:val="24"/>
                      <w:szCs w:val="20"/>
                    </w:rPr>
                    <w:t xml:space="preserve">30 </w:t>
                  </w:r>
                  <w:proofErr w:type="spellStart"/>
                  <w:r>
                    <w:rPr>
                      <w:kern w:val="24"/>
                      <w:szCs w:val="20"/>
                    </w:rPr>
                    <w:t>dBi</w:t>
                  </w:r>
                  <w:proofErr w:type="spellEnd"/>
                </w:p>
              </w:tc>
            </w:tr>
            <w:tr w:rsidR="00B60ED9">
              <w:trPr>
                <w:trHeight w:val="86"/>
                <w:jc w:val="center"/>
              </w:trPr>
              <w:tc>
                <w:tcPr>
                  <w:tcW w:w="6121" w:type="dxa"/>
                  <w:shd w:val="clear" w:color="auto" w:fill="auto"/>
                  <w:vAlign w:val="center"/>
                </w:tcPr>
                <w:p w:rsidR="00B60ED9" w:rsidRDefault="00C17EC6">
                  <w:pPr>
                    <w:spacing w:before="60" w:after="60"/>
                    <w:rPr>
                      <w:b/>
                      <w:bCs/>
                      <w:szCs w:val="20"/>
                      <w:lang w:val="de-DE"/>
                    </w:rPr>
                  </w:pPr>
                  <w:r>
                    <w:rPr>
                      <w:b/>
                      <w:kern w:val="24"/>
                      <w:szCs w:val="20"/>
                      <w:lang w:val="de-DE"/>
                    </w:rPr>
                    <w:t>Maximum EIRP per Satellite beam (dBW)</w:t>
                  </w:r>
                </w:p>
              </w:tc>
              <w:tc>
                <w:tcPr>
                  <w:tcW w:w="2306" w:type="dxa"/>
                  <w:shd w:val="clear" w:color="auto" w:fill="auto"/>
                  <w:vAlign w:val="center"/>
                </w:tcPr>
                <w:p w:rsidR="00B60ED9" w:rsidRDefault="00C17EC6">
                  <w:pPr>
                    <w:spacing w:before="60" w:after="60"/>
                    <w:jc w:val="center"/>
                    <w:rPr>
                      <w:szCs w:val="20"/>
                    </w:rPr>
                  </w:pPr>
                  <w:r>
                    <w:rPr>
                      <w:kern w:val="24"/>
                      <w:szCs w:val="20"/>
                      <w:lang w:val="fr-FR"/>
                    </w:rPr>
                    <w:t>33</w:t>
                  </w:r>
                </w:p>
              </w:tc>
            </w:tr>
            <w:tr w:rsidR="00B60ED9">
              <w:trPr>
                <w:trHeight w:val="37"/>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rPr>
                    <w:t>Total number of beam footprints</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rPr>
                    <w:t>1058</w:t>
                  </w:r>
                </w:p>
              </w:tc>
            </w:tr>
            <w:tr w:rsidR="00B60ED9">
              <w:trPr>
                <w:trHeight w:val="98"/>
                <w:jc w:val="center"/>
              </w:trPr>
              <w:tc>
                <w:tcPr>
                  <w:tcW w:w="6121" w:type="dxa"/>
                  <w:shd w:val="clear" w:color="auto" w:fill="auto"/>
                  <w:vAlign w:val="center"/>
                </w:tcPr>
                <w:p w:rsidR="00B60ED9" w:rsidRDefault="00C17EC6">
                  <w:pPr>
                    <w:spacing w:before="60" w:after="60"/>
                    <w:rPr>
                      <w:b/>
                      <w:bCs/>
                      <w:szCs w:val="20"/>
                    </w:rPr>
                  </w:pPr>
                  <w:r>
                    <w:rPr>
                      <w:b/>
                      <w:kern w:val="24"/>
                      <w:szCs w:val="20"/>
                    </w:rPr>
                    <w:t>Total number of simultaneously active beams**</w:t>
                  </w:r>
                </w:p>
              </w:tc>
              <w:tc>
                <w:tcPr>
                  <w:tcW w:w="2306" w:type="dxa"/>
                  <w:shd w:val="clear" w:color="auto" w:fill="auto"/>
                  <w:vAlign w:val="center"/>
                </w:tcPr>
                <w:p w:rsidR="00B60ED9" w:rsidRDefault="00C17EC6">
                  <w:pPr>
                    <w:spacing w:before="60" w:after="60"/>
                    <w:jc w:val="center"/>
                    <w:rPr>
                      <w:szCs w:val="20"/>
                    </w:rPr>
                  </w:pPr>
                  <w:r>
                    <w:rPr>
                      <w:kern w:val="24"/>
                      <w:szCs w:val="20"/>
                      <w:lang w:val="fr-FR"/>
                    </w:rPr>
                    <w:t>106</w:t>
                  </w:r>
                </w:p>
              </w:tc>
            </w:tr>
            <w:tr w:rsidR="00B60ED9">
              <w:trPr>
                <w:trHeight w:val="76"/>
                <w:jc w:val="center"/>
              </w:trPr>
              <w:tc>
                <w:tcPr>
                  <w:tcW w:w="6121" w:type="dxa"/>
                  <w:shd w:val="clear" w:color="auto" w:fill="auto"/>
                  <w:vAlign w:val="center"/>
                </w:tcPr>
                <w:p w:rsidR="00B60ED9" w:rsidRDefault="00C17EC6">
                  <w:pPr>
                    <w:spacing w:before="60" w:after="60"/>
                    <w:rPr>
                      <w:b/>
                      <w:bCs/>
                      <w:szCs w:val="20"/>
                    </w:rPr>
                  </w:pPr>
                  <w:r>
                    <w:rPr>
                      <w:rFonts w:eastAsia="等线"/>
                      <w:b/>
                      <w:kern w:val="24"/>
                      <w:szCs w:val="20"/>
                      <w:lang w:val="fr-FR"/>
                    </w:rPr>
                    <w:t>% simultaneously active beams**</w:t>
                  </w:r>
                </w:p>
              </w:tc>
              <w:tc>
                <w:tcPr>
                  <w:tcW w:w="2306" w:type="dxa"/>
                  <w:shd w:val="clear" w:color="auto" w:fill="auto"/>
                  <w:vAlign w:val="center"/>
                </w:tcPr>
                <w:p w:rsidR="00B60ED9" w:rsidRDefault="00C17EC6">
                  <w:pPr>
                    <w:spacing w:before="60" w:after="60"/>
                    <w:jc w:val="center"/>
                    <w:rPr>
                      <w:szCs w:val="20"/>
                    </w:rPr>
                  </w:pPr>
                  <w:r>
                    <w:rPr>
                      <w:rFonts w:eastAsia="等线"/>
                      <w:kern w:val="24"/>
                      <w:szCs w:val="20"/>
                      <w:lang w:val="fr-FR"/>
                    </w:rPr>
                    <w:t>10.02 %</w:t>
                  </w:r>
                </w:p>
              </w:tc>
            </w:tr>
            <w:tr w:rsidR="00B60ED9">
              <w:trPr>
                <w:trHeight w:val="37"/>
                <w:jc w:val="center"/>
              </w:trPr>
              <w:tc>
                <w:tcPr>
                  <w:tcW w:w="8427" w:type="dxa"/>
                  <w:gridSpan w:val="2"/>
                  <w:shd w:val="clear" w:color="auto" w:fill="auto"/>
                  <w:vAlign w:val="center"/>
                </w:tcPr>
                <w:p w:rsidR="00B60ED9" w:rsidRDefault="00C17EC6">
                  <w:pPr>
                    <w:spacing w:before="60" w:after="60"/>
                    <w:ind w:left="850" w:hanging="850"/>
                    <w:rPr>
                      <w:b/>
                      <w:bCs/>
                      <w:szCs w:val="20"/>
                    </w:rPr>
                  </w:pPr>
                  <w:r>
                    <w:rPr>
                      <w:b/>
                      <w:kern w:val="24"/>
                      <w:szCs w:val="20"/>
                    </w:rPr>
                    <w:t xml:space="preserve">*Note: EIRP limit is 53.24 dBm for the reference configuration. </w:t>
                  </w:r>
                </w:p>
                <w:p w:rsidR="00B60ED9" w:rsidRDefault="00C17EC6">
                  <w:pPr>
                    <w:spacing w:before="60" w:after="60"/>
                    <w:rPr>
                      <w:rFonts w:eastAsia="等线"/>
                      <w:b/>
                      <w:bCs/>
                      <w:kern w:val="24"/>
                      <w:szCs w:val="20"/>
                    </w:rPr>
                  </w:pPr>
                  <w:r>
                    <w:rPr>
                      <w:b/>
                      <w:kern w:val="24"/>
                      <w:szCs w:val="20"/>
                    </w:rPr>
                    <w:t>**Absolute number of simultaneously active beams is up to 212 (due to limitation of RF)</w:t>
                  </w:r>
                </w:p>
                <w:p w:rsidR="00B60ED9" w:rsidRDefault="00C17EC6">
                  <w:pPr>
                    <w:spacing w:before="60" w:after="6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rsidR="00B60ED9" w:rsidRDefault="00B60ED9">
            <w:pPr>
              <w:spacing w:before="60" w:after="60"/>
              <w:rPr>
                <w:lang w:eastAsia="zh-CN"/>
              </w:rPr>
            </w:pPr>
          </w:p>
          <w:p w:rsidR="00B60ED9" w:rsidRDefault="00C17EC6">
            <w:pPr>
              <w:spacing w:before="60" w:after="60"/>
              <w:rPr>
                <w:lang w:eastAsia="zh-CN"/>
              </w:rPr>
            </w:pPr>
            <w:r>
              <w:rPr>
                <w:lang w:eastAsia="zh-CN"/>
              </w:rPr>
              <w:t>Note: RAN1 will aim to identify necessary enhancements for these scenarios in the study phase. At the end of the study phase, RAN1 will further discuss whether the potential enhancements will be specified within Rel-19 framework.</w:t>
            </w:r>
          </w:p>
          <w:p w:rsidR="00B60ED9" w:rsidRDefault="00B60ED9">
            <w:pPr>
              <w:spacing w:before="60" w:after="60"/>
              <w:rPr>
                <w:lang w:eastAsia="zh-CN"/>
              </w:rPr>
            </w:pPr>
          </w:p>
          <w:p w:rsidR="00B60ED9" w:rsidRDefault="00C17EC6">
            <w:pPr>
              <w:spacing w:before="60" w:after="60"/>
              <w:rPr>
                <w:b/>
                <w:lang w:eastAsia="zh-CN"/>
              </w:rPr>
            </w:pPr>
            <w:r>
              <w:rPr>
                <w:b/>
                <w:lang w:eastAsia="zh-CN"/>
              </w:rPr>
              <w:t>Observation</w:t>
            </w:r>
          </w:p>
          <w:p w:rsidR="00B60ED9" w:rsidRDefault="00C17EC6">
            <w:pPr>
              <w:spacing w:before="60" w:after="60"/>
              <w:rPr>
                <w:lang w:eastAsia="zh-CN"/>
              </w:rPr>
            </w:pPr>
            <w:r>
              <w:rPr>
                <w:lang w:eastAsia="zh-CN"/>
              </w:rPr>
              <w:t>The CNRs for the satellite payload parameters Set 1-1, Set 1-2 and Set 1-3 are equal to -1.9 dB, -1.9 dB and -9.9 dB respectively.</w:t>
            </w:r>
          </w:p>
        </w:tc>
      </w:tr>
    </w:tbl>
    <w:p w:rsidR="00B60ED9" w:rsidRDefault="00B60ED9">
      <w:pPr>
        <w:snapToGrid w:val="0"/>
        <w:spacing w:after="0"/>
        <w:rPr>
          <w:rFonts w:eastAsiaTheme="minorEastAsia"/>
          <w:szCs w:val="20"/>
        </w:rPr>
      </w:pPr>
    </w:p>
    <w:sectPr w:rsidR="00B60ED9">
      <w:headerReference w:type="default" r:id="rId12"/>
      <w:foot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328" w:rsidRDefault="00542328">
      <w:pPr>
        <w:spacing w:after="0"/>
      </w:pPr>
      <w:r>
        <w:separator/>
      </w:r>
    </w:p>
  </w:endnote>
  <w:endnote w:type="continuationSeparator" w:id="0">
    <w:p w:rsidR="00542328" w:rsidRDefault="00542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sdtPr>
    <w:sdtEndPr/>
    <w:sdtContent>
      <w:p w:rsidR="00B60ED9" w:rsidRDefault="00C17EC6">
        <w:pPr>
          <w:pStyle w:val="ae"/>
          <w:jc w:val="center"/>
        </w:pPr>
        <w:r>
          <w:fldChar w:fldCharType="begin"/>
        </w:r>
        <w:r>
          <w:instrText>PAGE   \* MERGEFORMAT</w:instrText>
        </w:r>
        <w:r>
          <w:fldChar w:fldCharType="separate"/>
        </w:r>
        <w:r w:rsidR="00EF008E" w:rsidRPr="00EF008E">
          <w:rPr>
            <w:noProof/>
            <w:lang w:val="ja-JP" w:eastAsia="ja-JP"/>
          </w:rPr>
          <w:t>1</w:t>
        </w:r>
        <w:r>
          <w:fldChar w:fldCharType="end"/>
        </w:r>
      </w:p>
    </w:sdtContent>
  </w:sdt>
  <w:p w:rsidR="00B60ED9" w:rsidRDefault="00B60ED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328" w:rsidRDefault="00542328">
      <w:pPr>
        <w:spacing w:after="0"/>
      </w:pPr>
      <w:r>
        <w:separator/>
      </w:r>
    </w:p>
  </w:footnote>
  <w:footnote w:type="continuationSeparator" w:id="0">
    <w:p w:rsidR="00542328" w:rsidRDefault="005423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ED9" w:rsidRDefault="00B60ED9">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086090"/>
    <w:multiLevelType w:val="multilevel"/>
    <w:tmpl w:val="0B08609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9EB0B61"/>
    <w:multiLevelType w:val="multilevel"/>
    <w:tmpl w:val="19EB0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B2643"/>
    <w:multiLevelType w:val="multilevel"/>
    <w:tmpl w:val="1C9B2643"/>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530F09"/>
    <w:multiLevelType w:val="multilevel"/>
    <w:tmpl w:val="22530F09"/>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24647C"/>
    <w:multiLevelType w:val="multilevel"/>
    <w:tmpl w:val="2A24647C"/>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42324B1"/>
    <w:multiLevelType w:val="multilevel"/>
    <w:tmpl w:val="442324B1"/>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EF5375A"/>
    <w:multiLevelType w:val="multilevel"/>
    <w:tmpl w:val="5EF537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BA1F28"/>
    <w:multiLevelType w:val="multilevel"/>
    <w:tmpl w:val="63BA1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92540"/>
    <w:multiLevelType w:val="multilevel"/>
    <w:tmpl w:val="6E492540"/>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744542"/>
    <w:multiLevelType w:val="multilevel"/>
    <w:tmpl w:val="71744542"/>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2E6BB9"/>
    <w:multiLevelType w:val="multilevel"/>
    <w:tmpl w:val="7F2E6BB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num>
  <w:num w:numId="2">
    <w:abstractNumId w:val="15"/>
  </w:num>
  <w:num w:numId="3">
    <w:abstractNumId w:val="21"/>
  </w:num>
  <w:num w:numId="4">
    <w:abstractNumId w:val="16"/>
  </w:num>
  <w:num w:numId="5">
    <w:abstractNumId w:val="20"/>
  </w:num>
  <w:num w:numId="6">
    <w:abstractNumId w:val="14"/>
  </w:num>
  <w:num w:numId="7">
    <w:abstractNumId w:val="18"/>
  </w:num>
  <w:num w:numId="8">
    <w:abstractNumId w:val="10"/>
  </w:num>
  <w:num w:numId="9">
    <w:abstractNumId w:val="7"/>
  </w:num>
  <w:num w:numId="10">
    <w:abstractNumId w:val="13"/>
  </w:num>
  <w:num w:numId="11">
    <w:abstractNumId w:val="1"/>
  </w:num>
  <w:num w:numId="12">
    <w:abstractNumId w:val="9"/>
  </w:num>
  <w:num w:numId="13">
    <w:abstractNumId w:val="23"/>
  </w:num>
  <w:num w:numId="14">
    <w:abstractNumId w:val="26"/>
  </w:num>
  <w:num w:numId="15">
    <w:abstractNumId w:val="3"/>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2"/>
  </w:num>
  <w:num w:numId="19">
    <w:abstractNumId w:val="31"/>
  </w:num>
  <w:num w:numId="20">
    <w:abstractNumId w:val="5"/>
  </w:num>
  <w:num w:numId="21">
    <w:abstractNumId w:val="24"/>
  </w:num>
  <w:num w:numId="22">
    <w:abstractNumId w:val="22"/>
  </w:num>
  <w:num w:numId="23">
    <w:abstractNumId w:val="11"/>
  </w:num>
  <w:num w:numId="24">
    <w:abstractNumId w:val="17"/>
  </w:num>
  <w:num w:numId="25">
    <w:abstractNumId w:val="2"/>
  </w:num>
  <w:num w:numId="26">
    <w:abstractNumId w:val="27"/>
  </w:num>
  <w:num w:numId="27">
    <w:abstractNumId w:val="4"/>
  </w:num>
  <w:num w:numId="28">
    <w:abstractNumId w:val="29"/>
  </w:num>
  <w:num w:numId="29">
    <w:abstractNumId w:val="6"/>
  </w:num>
  <w:num w:numId="30">
    <w:abstractNumId w:val="8"/>
  </w:num>
  <w:num w:numId="31">
    <w:abstractNumId w:val="25"/>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B63"/>
    <w:rsid w:val="00000D50"/>
    <w:rsid w:val="00000E27"/>
    <w:rsid w:val="00001141"/>
    <w:rsid w:val="000012F9"/>
    <w:rsid w:val="000016BE"/>
    <w:rsid w:val="00001829"/>
    <w:rsid w:val="00001CB9"/>
    <w:rsid w:val="00001DE6"/>
    <w:rsid w:val="00002134"/>
    <w:rsid w:val="00002272"/>
    <w:rsid w:val="0000242B"/>
    <w:rsid w:val="000025D5"/>
    <w:rsid w:val="00002A4E"/>
    <w:rsid w:val="0000314A"/>
    <w:rsid w:val="00003886"/>
    <w:rsid w:val="00003B87"/>
    <w:rsid w:val="0000410D"/>
    <w:rsid w:val="000042C8"/>
    <w:rsid w:val="0000460A"/>
    <w:rsid w:val="000046CE"/>
    <w:rsid w:val="00004C03"/>
    <w:rsid w:val="00004DE3"/>
    <w:rsid w:val="00004F59"/>
    <w:rsid w:val="00005012"/>
    <w:rsid w:val="0000539E"/>
    <w:rsid w:val="000054C0"/>
    <w:rsid w:val="00005A00"/>
    <w:rsid w:val="00005C84"/>
    <w:rsid w:val="00005D8E"/>
    <w:rsid w:val="00005E4D"/>
    <w:rsid w:val="000060C1"/>
    <w:rsid w:val="000063A7"/>
    <w:rsid w:val="000063B8"/>
    <w:rsid w:val="000065F8"/>
    <w:rsid w:val="000067AE"/>
    <w:rsid w:val="0000694F"/>
    <w:rsid w:val="0000794B"/>
    <w:rsid w:val="00007F91"/>
    <w:rsid w:val="00010151"/>
    <w:rsid w:val="0001068D"/>
    <w:rsid w:val="000106E0"/>
    <w:rsid w:val="00010791"/>
    <w:rsid w:val="00010B82"/>
    <w:rsid w:val="00010CE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3B"/>
    <w:rsid w:val="00012E4E"/>
    <w:rsid w:val="00013284"/>
    <w:rsid w:val="000137A8"/>
    <w:rsid w:val="000137AA"/>
    <w:rsid w:val="00013935"/>
    <w:rsid w:val="0001397F"/>
    <w:rsid w:val="00013CA8"/>
    <w:rsid w:val="00013F43"/>
    <w:rsid w:val="0001420C"/>
    <w:rsid w:val="000143FD"/>
    <w:rsid w:val="00014553"/>
    <w:rsid w:val="00014A56"/>
    <w:rsid w:val="00014CA5"/>
    <w:rsid w:val="00014D04"/>
    <w:rsid w:val="00014DBF"/>
    <w:rsid w:val="00015654"/>
    <w:rsid w:val="00015A87"/>
    <w:rsid w:val="00015AED"/>
    <w:rsid w:val="00015CF4"/>
    <w:rsid w:val="00016208"/>
    <w:rsid w:val="00016AC6"/>
    <w:rsid w:val="00016DE7"/>
    <w:rsid w:val="00016F05"/>
    <w:rsid w:val="0001706A"/>
    <w:rsid w:val="000174AD"/>
    <w:rsid w:val="00017A2C"/>
    <w:rsid w:val="00017A7C"/>
    <w:rsid w:val="00017BA4"/>
    <w:rsid w:val="00017E66"/>
    <w:rsid w:val="00017F49"/>
    <w:rsid w:val="000208A6"/>
    <w:rsid w:val="00020A0A"/>
    <w:rsid w:val="00020A1C"/>
    <w:rsid w:val="00020E74"/>
    <w:rsid w:val="0002135A"/>
    <w:rsid w:val="00021475"/>
    <w:rsid w:val="0002195F"/>
    <w:rsid w:val="00021B1B"/>
    <w:rsid w:val="00021C03"/>
    <w:rsid w:val="00021FC2"/>
    <w:rsid w:val="000221FC"/>
    <w:rsid w:val="00022384"/>
    <w:rsid w:val="00022A7D"/>
    <w:rsid w:val="00022BC1"/>
    <w:rsid w:val="00023109"/>
    <w:rsid w:val="000238DA"/>
    <w:rsid w:val="000241BF"/>
    <w:rsid w:val="000241CB"/>
    <w:rsid w:val="00024293"/>
    <w:rsid w:val="000242AE"/>
    <w:rsid w:val="000248A1"/>
    <w:rsid w:val="000248D6"/>
    <w:rsid w:val="00024BC2"/>
    <w:rsid w:val="00024E88"/>
    <w:rsid w:val="000250AB"/>
    <w:rsid w:val="000250BF"/>
    <w:rsid w:val="000253B4"/>
    <w:rsid w:val="0002552A"/>
    <w:rsid w:val="00025964"/>
    <w:rsid w:val="00025A64"/>
    <w:rsid w:val="000260C1"/>
    <w:rsid w:val="0002671B"/>
    <w:rsid w:val="000269D1"/>
    <w:rsid w:val="00026F14"/>
    <w:rsid w:val="000272D7"/>
    <w:rsid w:val="0002754F"/>
    <w:rsid w:val="0002793E"/>
    <w:rsid w:val="000300D5"/>
    <w:rsid w:val="00030815"/>
    <w:rsid w:val="00030BD6"/>
    <w:rsid w:val="00030C1B"/>
    <w:rsid w:val="00030DFC"/>
    <w:rsid w:val="000312E7"/>
    <w:rsid w:val="00031518"/>
    <w:rsid w:val="000316C4"/>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CBE"/>
    <w:rsid w:val="00033D65"/>
    <w:rsid w:val="00033F30"/>
    <w:rsid w:val="00033F8D"/>
    <w:rsid w:val="00034688"/>
    <w:rsid w:val="000347BA"/>
    <w:rsid w:val="00034864"/>
    <w:rsid w:val="00034984"/>
    <w:rsid w:val="000351E5"/>
    <w:rsid w:val="0003529B"/>
    <w:rsid w:val="000352C5"/>
    <w:rsid w:val="00035C55"/>
    <w:rsid w:val="00035D53"/>
    <w:rsid w:val="00035E82"/>
    <w:rsid w:val="00035FBE"/>
    <w:rsid w:val="00036038"/>
    <w:rsid w:val="000362AB"/>
    <w:rsid w:val="000363AE"/>
    <w:rsid w:val="000363FD"/>
    <w:rsid w:val="00036CBB"/>
    <w:rsid w:val="000371EC"/>
    <w:rsid w:val="00037462"/>
    <w:rsid w:val="0003772C"/>
    <w:rsid w:val="000377D4"/>
    <w:rsid w:val="000379F3"/>
    <w:rsid w:val="00037A41"/>
    <w:rsid w:val="00037B80"/>
    <w:rsid w:val="00037C08"/>
    <w:rsid w:val="00037DBD"/>
    <w:rsid w:val="00037E65"/>
    <w:rsid w:val="0004000C"/>
    <w:rsid w:val="000405D6"/>
    <w:rsid w:val="0004097D"/>
    <w:rsid w:val="00040A9F"/>
    <w:rsid w:val="00040C49"/>
    <w:rsid w:val="00040C7C"/>
    <w:rsid w:val="00040D63"/>
    <w:rsid w:val="00040EF0"/>
    <w:rsid w:val="00040F47"/>
    <w:rsid w:val="000412E1"/>
    <w:rsid w:val="000412FF"/>
    <w:rsid w:val="000415EB"/>
    <w:rsid w:val="000418A0"/>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975"/>
    <w:rsid w:val="000449D2"/>
    <w:rsid w:val="00044D7E"/>
    <w:rsid w:val="00044DAA"/>
    <w:rsid w:val="00045071"/>
    <w:rsid w:val="0004511B"/>
    <w:rsid w:val="000456FF"/>
    <w:rsid w:val="000458FF"/>
    <w:rsid w:val="00045C61"/>
    <w:rsid w:val="00045D59"/>
    <w:rsid w:val="00046065"/>
    <w:rsid w:val="00046195"/>
    <w:rsid w:val="00046517"/>
    <w:rsid w:val="0004660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BA8"/>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C67"/>
    <w:rsid w:val="00053D7E"/>
    <w:rsid w:val="00053E35"/>
    <w:rsid w:val="00053E77"/>
    <w:rsid w:val="000540C0"/>
    <w:rsid w:val="00054698"/>
    <w:rsid w:val="0005477E"/>
    <w:rsid w:val="00054A3F"/>
    <w:rsid w:val="00055486"/>
    <w:rsid w:val="000557DC"/>
    <w:rsid w:val="000559D2"/>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57FFE"/>
    <w:rsid w:val="00060564"/>
    <w:rsid w:val="00060753"/>
    <w:rsid w:val="00060AA8"/>
    <w:rsid w:val="00060CE4"/>
    <w:rsid w:val="000613DC"/>
    <w:rsid w:val="000613E6"/>
    <w:rsid w:val="00061483"/>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5E7"/>
    <w:rsid w:val="000647E2"/>
    <w:rsid w:val="00064FF5"/>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07"/>
    <w:rsid w:val="00067C3D"/>
    <w:rsid w:val="00067C74"/>
    <w:rsid w:val="00067D9C"/>
    <w:rsid w:val="00067F9D"/>
    <w:rsid w:val="000704A1"/>
    <w:rsid w:val="0007056B"/>
    <w:rsid w:val="00070914"/>
    <w:rsid w:val="00070CF2"/>
    <w:rsid w:val="00070D6D"/>
    <w:rsid w:val="00070F5F"/>
    <w:rsid w:val="000710A9"/>
    <w:rsid w:val="000713C2"/>
    <w:rsid w:val="00071606"/>
    <w:rsid w:val="00071A17"/>
    <w:rsid w:val="00071D16"/>
    <w:rsid w:val="00071E64"/>
    <w:rsid w:val="0007205F"/>
    <w:rsid w:val="000721FD"/>
    <w:rsid w:val="000722A7"/>
    <w:rsid w:val="000726C8"/>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63D"/>
    <w:rsid w:val="0007680E"/>
    <w:rsid w:val="00076A2B"/>
    <w:rsid w:val="00076A3F"/>
    <w:rsid w:val="00076E3A"/>
    <w:rsid w:val="00076F22"/>
    <w:rsid w:val="00077878"/>
    <w:rsid w:val="00077C76"/>
    <w:rsid w:val="00077DB2"/>
    <w:rsid w:val="00080026"/>
    <w:rsid w:val="000804E1"/>
    <w:rsid w:val="000804FB"/>
    <w:rsid w:val="000808CC"/>
    <w:rsid w:val="000810A7"/>
    <w:rsid w:val="000810BF"/>
    <w:rsid w:val="000811E7"/>
    <w:rsid w:val="00081472"/>
    <w:rsid w:val="000816D8"/>
    <w:rsid w:val="000817B4"/>
    <w:rsid w:val="000817D8"/>
    <w:rsid w:val="000818F4"/>
    <w:rsid w:val="00081A9C"/>
    <w:rsid w:val="0008210E"/>
    <w:rsid w:val="000823D4"/>
    <w:rsid w:val="00082927"/>
    <w:rsid w:val="00082AB1"/>
    <w:rsid w:val="00082CF1"/>
    <w:rsid w:val="00082D97"/>
    <w:rsid w:val="0008308B"/>
    <w:rsid w:val="0008310D"/>
    <w:rsid w:val="000831D0"/>
    <w:rsid w:val="000831D2"/>
    <w:rsid w:val="00083543"/>
    <w:rsid w:val="000838E0"/>
    <w:rsid w:val="00083C3C"/>
    <w:rsid w:val="000841C4"/>
    <w:rsid w:val="000843C4"/>
    <w:rsid w:val="000849C5"/>
    <w:rsid w:val="00084E03"/>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34A"/>
    <w:rsid w:val="00092A2B"/>
    <w:rsid w:val="00092D32"/>
    <w:rsid w:val="00092E4E"/>
    <w:rsid w:val="000931D8"/>
    <w:rsid w:val="000931F0"/>
    <w:rsid w:val="0009327A"/>
    <w:rsid w:val="00093313"/>
    <w:rsid w:val="00093374"/>
    <w:rsid w:val="00093930"/>
    <w:rsid w:val="0009396C"/>
    <w:rsid w:val="00093C99"/>
    <w:rsid w:val="00093DBC"/>
    <w:rsid w:val="00093F01"/>
    <w:rsid w:val="00093FC6"/>
    <w:rsid w:val="00094600"/>
    <w:rsid w:val="00094623"/>
    <w:rsid w:val="000947DB"/>
    <w:rsid w:val="00094B3C"/>
    <w:rsid w:val="000951E0"/>
    <w:rsid w:val="000955D2"/>
    <w:rsid w:val="00095889"/>
    <w:rsid w:val="00095890"/>
    <w:rsid w:val="00095D58"/>
    <w:rsid w:val="00095DA5"/>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C8F"/>
    <w:rsid w:val="000A1D0B"/>
    <w:rsid w:val="000A1E27"/>
    <w:rsid w:val="000A1EDD"/>
    <w:rsid w:val="000A2339"/>
    <w:rsid w:val="000A2350"/>
    <w:rsid w:val="000A2478"/>
    <w:rsid w:val="000A2A11"/>
    <w:rsid w:val="000A2B10"/>
    <w:rsid w:val="000A2B56"/>
    <w:rsid w:val="000A2BCD"/>
    <w:rsid w:val="000A2C13"/>
    <w:rsid w:val="000A2C82"/>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BF1"/>
    <w:rsid w:val="000A4D08"/>
    <w:rsid w:val="000A535E"/>
    <w:rsid w:val="000A53D8"/>
    <w:rsid w:val="000A5425"/>
    <w:rsid w:val="000A547E"/>
    <w:rsid w:val="000A559A"/>
    <w:rsid w:val="000A564C"/>
    <w:rsid w:val="000A5674"/>
    <w:rsid w:val="000A5784"/>
    <w:rsid w:val="000A5C78"/>
    <w:rsid w:val="000A5DCA"/>
    <w:rsid w:val="000A5E0C"/>
    <w:rsid w:val="000A60F8"/>
    <w:rsid w:val="000A6601"/>
    <w:rsid w:val="000A67BA"/>
    <w:rsid w:val="000A6A7B"/>
    <w:rsid w:val="000A6A8E"/>
    <w:rsid w:val="000A6BF8"/>
    <w:rsid w:val="000A6C80"/>
    <w:rsid w:val="000A6E40"/>
    <w:rsid w:val="000A70AD"/>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6AB"/>
    <w:rsid w:val="000B2822"/>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DC1"/>
    <w:rsid w:val="000B7FE0"/>
    <w:rsid w:val="000C0172"/>
    <w:rsid w:val="000C0279"/>
    <w:rsid w:val="000C034A"/>
    <w:rsid w:val="000C03FF"/>
    <w:rsid w:val="000C0645"/>
    <w:rsid w:val="000C06A6"/>
    <w:rsid w:val="000C07E9"/>
    <w:rsid w:val="000C0812"/>
    <w:rsid w:val="000C0875"/>
    <w:rsid w:val="000C0DE3"/>
    <w:rsid w:val="000C0E56"/>
    <w:rsid w:val="000C1001"/>
    <w:rsid w:val="000C130F"/>
    <w:rsid w:val="000C1792"/>
    <w:rsid w:val="000C19C2"/>
    <w:rsid w:val="000C1B5F"/>
    <w:rsid w:val="000C2033"/>
    <w:rsid w:val="000C2208"/>
    <w:rsid w:val="000C26E1"/>
    <w:rsid w:val="000C2741"/>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46B"/>
    <w:rsid w:val="000C55DA"/>
    <w:rsid w:val="000C57A7"/>
    <w:rsid w:val="000C58C3"/>
    <w:rsid w:val="000C59FC"/>
    <w:rsid w:val="000C5A16"/>
    <w:rsid w:val="000C5A1A"/>
    <w:rsid w:val="000C5B12"/>
    <w:rsid w:val="000C6015"/>
    <w:rsid w:val="000C66A6"/>
    <w:rsid w:val="000C69BE"/>
    <w:rsid w:val="000C6E26"/>
    <w:rsid w:val="000C733A"/>
    <w:rsid w:val="000C7810"/>
    <w:rsid w:val="000C7BD4"/>
    <w:rsid w:val="000C7EA4"/>
    <w:rsid w:val="000C7F86"/>
    <w:rsid w:val="000C7FF5"/>
    <w:rsid w:val="000D08E1"/>
    <w:rsid w:val="000D0A74"/>
    <w:rsid w:val="000D0ABD"/>
    <w:rsid w:val="000D0B07"/>
    <w:rsid w:val="000D0D56"/>
    <w:rsid w:val="000D0FD5"/>
    <w:rsid w:val="000D13EC"/>
    <w:rsid w:val="000D1557"/>
    <w:rsid w:val="000D1C33"/>
    <w:rsid w:val="000D1D35"/>
    <w:rsid w:val="000D1D8A"/>
    <w:rsid w:val="000D1E97"/>
    <w:rsid w:val="000D1ECA"/>
    <w:rsid w:val="000D236A"/>
    <w:rsid w:val="000D2437"/>
    <w:rsid w:val="000D2554"/>
    <w:rsid w:val="000D2600"/>
    <w:rsid w:val="000D284E"/>
    <w:rsid w:val="000D2D66"/>
    <w:rsid w:val="000D30E4"/>
    <w:rsid w:val="000D3112"/>
    <w:rsid w:val="000D3142"/>
    <w:rsid w:val="000D3160"/>
    <w:rsid w:val="000D3349"/>
    <w:rsid w:val="000D34E4"/>
    <w:rsid w:val="000D360C"/>
    <w:rsid w:val="000D3650"/>
    <w:rsid w:val="000D3991"/>
    <w:rsid w:val="000D3A53"/>
    <w:rsid w:val="000D3C4D"/>
    <w:rsid w:val="000D40A6"/>
    <w:rsid w:val="000D41B2"/>
    <w:rsid w:val="000D47AC"/>
    <w:rsid w:val="000D4FE9"/>
    <w:rsid w:val="000D5391"/>
    <w:rsid w:val="000D5655"/>
    <w:rsid w:val="000D5739"/>
    <w:rsid w:val="000D57B0"/>
    <w:rsid w:val="000D5894"/>
    <w:rsid w:val="000D5A0B"/>
    <w:rsid w:val="000D5AE6"/>
    <w:rsid w:val="000D5FEF"/>
    <w:rsid w:val="000D665E"/>
    <w:rsid w:val="000D66AC"/>
    <w:rsid w:val="000D6AF2"/>
    <w:rsid w:val="000D6E29"/>
    <w:rsid w:val="000D6F65"/>
    <w:rsid w:val="000D71A4"/>
    <w:rsid w:val="000D71B3"/>
    <w:rsid w:val="000D7232"/>
    <w:rsid w:val="000D759E"/>
    <w:rsid w:val="000D75CC"/>
    <w:rsid w:val="000D77E9"/>
    <w:rsid w:val="000D7995"/>
    <w:rsid w:val="000D7DC8"/>
    <w:rsid w:val="000D7E3B"/>
    <w:rsid w:val="000E0179"/>
    <w:rsid w:val="000E0378"/>
    <w:rsid w:val="000E0577"/>
    <w:rsid w:val="000E068D"/>
    <w:rsid w:val="000E0765"/>
    <w:rsid w:val="000E078F"/>
    <w:rsid w:val="000E0F5E"/>
    <w:rsid w:val="000E0F87"/>
    <w:rsid w:val="000E189D"/>
    <w:rsid w:val="000E1909"/>
    <w:rsid w:val="000E191E"/>
    <w:rsid w:val="000E19B1"/>
    <w:rsid w:val="000E1A2A"/>
    <w:rsid w:val="000E1FCD"/>
    <w:rsid w:val="000E2247"/>
    <w:rsid w:val="000E2DAB"/>
    <w:rsid w:val="000E2EBA"/>
    <w:rsid w:val="000E3514"/>
    <w:rsid w:val="000E3590"/>
    <w:rsid w:val="000E3C6B"/>
    <w:rsid w:val="000E3F58"/>
    <w:rsid w:val="000E4099"/>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38F"/>
    <w:rsid w:val="000E76B4"/>
    <w:rsid w:val="000E76DE"/>
    <w:rsid w:val="000E79CD"/>
    <w:rsid w:val="000E7BF7"/>
    <w:rsid w:val="000E7D93"/>
    <w:rsid w:val="000E7E98"/>
    <w:rsid w:val="000E7F62"/>
    <w:rsid w:val="000E7F85"/>
    <w:rsid w:val="000F00ED"/>
    <w:rsid w:val="000F0209"/>
    <w:rsid w:val="000F053F"/>
    <w:rsid w:val="000F05C5"/>
    <w:rsid w:val="000F0755"/>
    <w:rsid w:val="000F1063"/>
    <w:rsid w:val="000F11B0"/>
    <w:rsid w:val="000F11F0"/>
    <w:rsid w:val="000F1307"/>
    <w:rsid w:val="000F16DB"/>
    <w:rsid w:val="000F1706"/>
    <w:rsid w:val="000F1F75"/>
    <w:rsid w:val="000F2398"/>
    <w:rsid w:val="000F26CF"/>
    <w:rsid w:val="000F27FA"/>
    <w:rsid w:val="000F306D"/>
    <w:rsid w:val="000F30E0"/>
    <w:rsid w:val="000F331A"/>
    <w:rsid w:val="000F332B"/>
    <w:rsid w:val="000F33B2"/>
    <w:rsid w:val="000F340A"/>
    <w:rsid w:val="000F35DA"/>
    <w:rsid w:val="000F372E"/>
    <w:rsid w:val="000F38D0"/>
    <w:rsid w:val="000F3D89"/>
    <w:rsid w:val="000F3E09"/>
    <w:rsid w:val="000F3EA3"/>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5F8"/>
    <w:rsid w:val="000F683D"/>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A09"/>
    <w:rsid w:val="00100CF0"/>
    <w:rsid w:val="00100F66"/>
    <w:rsid w:val="001013FA"/>
    <w:rsid w:val="001017CA"/>
    <w:rsid w:val="001020A3"/>
    <w:rsid w:val="001021E8"/>
    <w:rsid w:val="001022AA"/>
    <w:rsid w:val="00102709"/>
    <w:rsid w:val="001027E3"/>
    <w:rsid w:val="001028A9"/>
    <w:rsid w:val="00102D00"/>
    <w:rsid w:val="00102F63"/>
    <w:rsid w:val="001032FB"/>
    <w:rsid w:val="00103501"/>
    <w:rsid w:val="00103588"/>
    <w:rsid w:val="00103937"/>
    <w:rsid w:val="00103D97"/>
    <w:rsid w:val="00103F4E"/>
    <w:rsid w:val="00104661"/>
    <w:rsid w:val="0010493D"/>
    <w:rsid w:val="00104B01"/>
    <w:rsid w:val="00104BCB"/>
    <w:rsid w:val="00104DA0"/>
    <w:rsid w:val="00104F4C"/>
    <w:rsid w:val="00104F60"/>
    <w:rsid w:val="00105160"/>
    <w:rsid w:val="00105311"/>
    <w:rsid w:val="001053C1"/>
    <w:rsid w:val="00105570"/>
    <w:rsid w:val="001056CB"/>
    <w:rsid w:val="0010580E"/>
    <w:rsid w:val="00105812"/>
    <w:rsid w:val="001058A7"/>
    <w:rsid w:val="00105CBF"/>
    <w:rsid w:val="00105E10"/>
    <w:rsid w:val="00106349"/>
    <w:rsid w:val="001063C3"/>
    <w:rsid w:val="001067A4"/>
    <w:rsid w:val="00106BC9"/>
    <w:rsid w:val="00106CD9"/>
    <w:rsid w:val="00106F14"/>
    <w:rsid w:val="00107304"/>
    <w:rsid w:val="001078C5"/>
    <w:rsid w:val="0011002A"/>
    <w:rsid w:val="001100DB"/>
    <w:rsid w:val="00110279"/>
    <w:rsid w:val="001109E6"/>
    <w:rsid w:val="00110E42"/>
    <w:rsid w:val="001113AF"/>
    <w:rsid w:val="00111719"/>
    <w:rsid w:val="001117BC"/>
    <w:rsid w:val="0011189D"/>
    <w:rsid w:val="001119AC"/>
    <w:rsid w:val="00111C5C"/>
    <w:rsid w:val="0011202B"/>
    <w:rsid w:val="001120FC"/>
    <w:rsid w:val="001125FD"/>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327"/>
    <w:rsid w:val="001233A1"/>
    <w:rsid w:val="001234B3"/>
    <w:rsid w:val="00123623"/>
    <w:rsid w:val="00123644"/>
    <w:rsid w:val="0012373E"/>
    <w:rsid w:val="001239A2"/>
    <w:rsid w:val="00123B33"/>
    <w:rsid w:val="00123E23"/>
    <w:rsid w:val="00123E88"/>
    <w:rsid w:val="00123EB9"/>
    <w:rsid w:val="0012404D"/>
    <w:rsid w:val="0012412F"/>
    <w:rsid w:val="00124BE6"/>
    <w:rsid w:val="001250D7"/>
    <w:rsid w:val="001252EB"/>
    <w:rsid w:val="001256C9"/>
    <w:rsid w:val="00125C01"/>
    <w:rsid w:val="00125CA4"/>
    <w:rsid w:val="00125D22"/>
    <w:rsid w:val="00125ED7"/>
    <w:rsid w:val="00125F5D"/>
    <w:rsid w:val="00126884"/>
    <w:rsid w:val="00126A1D"/>
    <w:rsid w:val="00126A5C"/>
    <w:rsid w:val="00127206"/>
    <w:rsid w:val="00127685"/>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60A"/>
    <w:rsid w:val="001358A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74D7"/>
    <w:rsid w:val="0013765B"/>
    <w:rsid w:val="0013771B"/>
    <w:rsid w:val="00137C4E"/>
    <w:rsid w:val="00137CB2"/>
    <w:rsid w:val="00137CD3"/>
    <w:rsid w:val="00140024"/>
    <w:rsid w:val="00140237"/>
    <w:rsid w:val="001405C9"/>
    <w:rsid w:val="0014084E"/>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29EA"/>
    <w:rsid w:val="00143095"/>
    <w:rsid w:val="00143346"/>
    <w:rsid w:val="00143405"/>
    <w:rsid w:val="0014345B"/>
    <w:rsid w:val="0014391B"/>
    <w:rsid w:val="00143A47"/>
    <w:rsid w:val="00143BD9"/>
    <w:rsid w:val="00143EBC"/>
    <w:rsid w:val="0014405C"/>
    <w:rsid w:val="00144060"/>
    <w:rsid w:val="0014440C"/>
    <w:rsid w:val="001444DE"/>
    <w:rsid w:val="00144523"/>
    <w:rsid w:val="00144551"/>
    <w:rsid w:val="00144884"/>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1DE6"/>
    <w:rsid w:val="001526B4"/>
    <w:rsid w:val="00153000"/>
    <w:rsid w:val="0015312D"/>
    <w:rsid w:val="001532B4"/>
    <w:rsid w:val="00153307"/>
    <w:rsid w:val="0015384D"/>
    <w:rsid w:val="0015397A"/>
    <w:rsid w:val="00153B22"/>
    <w:rsid w:val="00153BA9"/>
    <w:rsid w:val="00153DFF"/>
    <w:rsid w:val="0015441E"/>
    <w:rsid w:val="001545C6"/>
    <w:rsid w:val="00154789"/>
    <w:rsid w:val="00154ECB"/>
    <w:rsid w:val="00154F45"/>
    <w:rsid w:val="001552A1"/>
    <w:rsid w:val="001553C7"/>
    <w:rsid w:val="00155876"/>
    <w:rsid w:val="00155B12"/>
    <w:rsid w:val="00155B9A"/>
    <w:rsid w:val="00155CD9"/>
    <w:rsid w:val="00155DE6"/>
    <w:rsid w:val="00155E72"/>
    <w:rsid w:val="00156297"/>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FA"/>
    <w:rsid w:val="001607B3"/>
    <w:rsid w:val="0016086E"/>
    <w:rsid w:val="00160C51"/>
    <w:rsid w:val="00160C79"/>
    <w:rsid w:val="00161189"/>
    <w:rsid w:val="00161201"/>
    <w:rsid w:val="0016142F"/>
    <w:rsid w:val="001615A6"/>
    <w:rsid w:val="00161A3D"/>
    <w:rsid w:val="00161DC1"/>
    <w:rsid w:val="00161E41"/>
    <w:rsid w:val="001622EF"/>
    <w:rsid w:val="0016301A"/>
    <w:rsid w:val="001630CC"/>
    <w:rsid w:val="001631C7"/>
    <w:rsid w:val="0016331D"/>
    <w:rsid w:val="00163436"/>
    <w:rsid w:val="00163CE3"/>
    <w:rsid w:val="00163DA6"/>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74A"/>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E9F"/>
    <w:rsid w:val="001723FF"/>
    <w:rsid w:val="001726F7"/>
    <w:rsid w:val="00172A6A"/>
    <w:rsid w:val="00172D8C"/>
    <w:rsid w:val="00172E1E"/>
    <w:rsid w:val="001733A5"/>
    <w:rsid w:val="0017352B"/>
    <w:rsid w:val="001738B9"/>
    <w:rsid w:val="00173B17"/>
    <w:rsid w:val="001743B2"/>
    <w:rsid w:val="00174BF1"/>
    <w:rsid w:val="00175121"/>
    <w:rsid w:val="001751FE"/>
    <w:rsid w:val="001754ED"/>
    <w:rsid w:val="00175564"/>
    <w:rsid w:val="001756C5"/>
    <w:rsid w:val="0017572F"/>
    <w:rsid w:val="0017577D"/>
    <w:rsid w:val="0017593C"/>
    <w:rsid w:val="001759F9"/>
    <w:rsid w:val="00175BF8"/>
    <w:rsid w:val="0017669A"/>
    <w:rsid w:val="001768C1"/>
    <w:rsid w:val="00176D09"/>
    <w:rsid w:val="00176D18"/>
    <w:rsid w:val="00177282"/>
    <w:rsid w:val="00177289"/>
    <w:rsid w:val="00177528"/>
    <w:rsid w:val="00177CD9"/>
    <w:rsid w:val="00180604"/>
    <w:rsid w:val="00180A87"/>
    <w:rsid w:val="00180B2B"/>
    <w:rsid w:val="00180CB0"/>
    <w:rsid w:val="001811FC"/>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9D1"/>
    <w:rsid w:val="00183C8D"/>
    <w:rsid w:val="00184249"/>
    <w:rsid w:val="00184286"/>
    <w:rsid w:val="00184B63"/>
    <w:rsid w:val="00184E75"/>
    <w:rsid w:val="00185729"/>
    <w:rsid w:val="0018573F"/>
    <w:rsid w:val="00185A8C"/>
    <w:rsid w:val="00185B5F"/>
    <w:rsid w:val="00185C55"/>
    <w:rsid w:val="00186436"/>
    <w:rsid w:val="00186869"/>
    <w:rsid w:val="00186BD3"/>
    <w:rsid w:val="00186DEA"/>
    <w:rsid w:val="00186F27"/>
    <w:rsid w:val="00187655"/>
    <w:rsid w:val="0018786A"/>
    <w:rsid w:val="001879AC"/>
    <w:rsid w:val="00187BF3"/>
    <w:rsid w:val="00187F50"/>
    <w:rsid w:val="00187F78"/>
    <w:rsid w:val="00187FAC"/>
    <w:rsid w:val="001900F0"/>
    <w:rsid w:val="001907C4"/>
    <w:rsid w:val="00190B34"/>
    <w:rsid w:val="00190C13"/>
    <w:rsid w:val="00190DB2"/>
    <w:rsid w:val="001911F1"/>
    <w:rsid w:val="0019155E"/>
    <w:rsid w:val="00191A6E"/>
    <w:rsid w:val="00191DAB"/>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FB2"/>
    <w:rsid w:val="00195343"/>
    <w:rsid w:val="0019543A"/>
    <w:rsid w:val="00195D65"/>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8C4"/>
    <w:rsid w:val="00197B2C"/>
    <w:rsid w:val="001A0275"/>
    <w:rsid w:val="001A0308"/>
    <w:rsid w:val="001A0391"/>
    <w:rsid w:val="001A0CC4"/>
    <w:rsid w:val="001A0F3B"/>
    <w:rsid w:val="001A0F7B"/>
    <w:rsid w:val="001A1084"/>
    <w:rsid w:val="001A1638"/>
    <w:rsid w:val="001A1767"/>
    <w:rsid w:val="001A181F"/>
    <w:rsid w:val="001A1CCE"/>
    <w:rsid w:val="001A1F6B"/>
    <w:rsid w:val="001A2279"/>
    <w:rsid w:val="001A236D"/>
    <w:rsid w:val="001A23EE"/>
    <w:rsid w:val="001A2471"/>
    <w:rsid w:val="001A25D6"/>
    <w:rsid w:val="001A25EE"/>
    <w:rsid w:val="001A29E7"/>
    <w:rsid w:val="001A2C5C"/>
    <w:rsid w:val="001A2F21"/>
    <w:rsid w:val="001A325F"/>
    <w:rsid w:val="001A3353"/>
    <w:rsid w:val="001A3379"/>
    <w:rsid w:val="001A362D"/>
    <w:rsid w:val="001A36BB"/>
    <w:rsid w:val="001A3767"/>
    <w:rsid w:val="001A37CE"/>
    <w:rsid w:val="001A3AE9"/>
    <w:rsid w:val="001A3F69"/>
    <w:rsid w:val="001A4222"/>
    <w:rsid w:val="001A4432"/>
    <w:rsid w:val="001A4992"/>
    <w:rsid w:val="001A51EB"/>
    <w:rsid w:val="001A551B"/>
    <w:rsid w:val="001A5F47"/>
    <w:rsid w:val="001A5F8B"/>
    <w:rsid w:val="001A5F8E"/>
    <w:rsid w:val="001A625B"/>
    <w:rsid w:val="001A6420"/>
    <w:rsid w:val="001A644B"/>
    <w:rsid w:val="001A727B"/>
    <w:rsid w:val="001A72C2"/>
    <w:rsid w:val="001A7526"/>
    <w:rsid w:val="001A77B4"/>
    <w:rsid w:val="001A794B"/>
    <w:rsid w:val="001A7D4F"/>
    <w:rsid w:val="001A7FBB"/>
    <w:rsid w:val="001B037F"/>
    <w:rsid w:val="001B03B7"/>
    <w:rsid w:val="001B041E"/>
    <w:rsid w:val="001B0599"/>
    <w:rsid w:val="001B09AD"/>
    <w:rsid w:val="001B0B19"/>
    <w:rsid w:val="001B1A87"/>
    <w:rsid w:val="001B1D92"/>
    <w:rsid w:val="001B215F"/>
    <w:rsid w:val="001B2958"/>
    <w:rsid w:val="001B2B17"/>
    <w:rsid w:val="001B2B7B"/>
    <w:rsid w:val="001B2EB0"/>
    <w:rsid w:val="001B30A3"/>
    <w:rsid w:val="001B36C6"/>
    <w:rsid w:val="001B36CA"/>
    <w:rsid w:val="001B37D7"/>
    <w:rsid w:val="001B3934"/>
    <w:rsid w:val="001B3940"/>
    <w:rsid w:val="001B3B5D"/>
    <w:rsid w:val="001B3C54"/>
    <w:rsid w:val="001B3F9A"/>
    <w:rsid w:val="001B4D92"/>
    <w:rsid w:val="001B55FA"/>
    <w:rsid w:val="001B5851"/>
    <w:rsid w:val="001B5E95"/>
    <w:rsid w:val="001B5F0C"/>
    <w:rsid w:val="001B5F13"/>
    <w:rsid w:val="001B5F15"/>
    <w:rsid w:val="001B61F9"/>
    <w:rsid w:val="001B6227"/>
    <w:rsid w:val="001B6669"/>
    <w:rsid w:val="001B677D"/>
    <w:rsid w:val="001B6876"/>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3D"/>
    <w:rsid w:val="001C0698"/>
    <w:rsid w:val="001C0B54"/>
    <w:rsid w:val="001C0BC4"/>
    <w:rsid w:val="001C1425"/>
    <w:rsid w:val="001C152B"/>
    <w:rsid w:val="001C1655"/>
    <w:rsid w:val="001C1739"/>
    <w:rsid w:val="001C1A97"/>
    <w:rsid w:val="001C1B76"/>
    <w:rsid w:val="001C1CB5"/>
    <w:rsid w:val="001C1EC0"/>
    <w:rsid w:val="001C21BC"/>
    <w:rsid w:val="001C235F"/>
    <w:rsid w:val="001C23C8"/>
    <w:rsid w:val="001C2408"/>
    <w:rsid w:val="001C25CC"/>
    <w:rsid w:val="001C25D0"/>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8"/>
    <w:rsid w:val="001C6A0E"/>
    <w:rsid w:val="001C6C21"/>
    <w:rsid w:val="001C70A7"/>
    <w:rsid w:val="001C717C"/>
    <w:rsid w:val="001C7268"/>
    <w:rsid w:val="001C72BB"/>
    <w:rsid w:val="001C7641"/>
    <w:rsid w:val="001C78FC"/>
    <w:rsid w:val="001C7A1E"/>
    <w:rsid w:val="001C7F2A"/>
    <w:rsid w:val="001D0166"/>
    <w:rsid w:val="001D01C9"/>
    <w:rsid w:val="001D058C"/>
    <w:rsid w:val="001D096F"/>
    <w:rsid w:val="001D0B46"/>
    <w:rsid w:val="001D0CB8"/>
    <w:rsid w:val="001D0DD1"/>
    <w:rsid w:val="001D14A8"/>
    <w:rsid w:val="001D155F"/>
    <w:rsid w:val="001D1620"/>
    <w:rsid w:val="001D1660"/>
    <w:rsid w:val="001D1BA6"/>
    <w:rsid w:val="001D1DFF"/>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A2C"/>
    <w:rsid w:val="001D7C3C"/>
    <w:rsid w:val="001D7FC4"/>
    <w:rsid w:val="001E0439"/>
    <w:rsid w:val="001E04C9"/>
    <w:rsid w:val="001E0574"/>
    <w:rsid w:val="001E085D"/>
    <w:rsid w:val="001E0A66"/>
    <w:rsid w:val="001E0ECB"/>
    <w:rsid w:val="001E1051"/>
    <w:rsid w:val="001E155A"/>
    <w:rsid w:val="001E15E0"/>
    <w:rsid w:val="001E1A9D"/>
    <w:rsid w:val="001E1B4D"/>
    <w:rsid w:val="001E1EA8"/>
    <w:rsid w:val="001E1F07"/>
    <w:rsid w:val="001E20F1"/>
    <w:rsid w:val="001E232E"/>
    <w:rsid w:val="001E2494"/>
    <w:rsid w:val="001E2633"/>
    <w:rsid w:val="001E27FE"/>
    <w:rsid w:val="001E2B65"/>
    <w:rsid w:val="001E2C21"/>
    <w:rsid w:val="001E2F8C"/>
    <w:rsid w:val="001E3019"/>
    <w:rsid w:val="001E3526"/>
    <w:rsid w:val="001E3916"/>
    <w:rsid w:val="001E39C9"/>
    <w:rsid w:val="001E39CF"/>
    <w:rsid w:val="001E3ADE"/>
    <w:rsid w:val="001E3C84"/>
    <w:rsid w:val="001E3DDC"/>
    <w:rsid w:val="001E3FEC"/>
    <w:rsid w:val="001E4178"/>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E2B"/>
    <w:rsid w:val="001F00A4"/>
    <w:rsid w:val="001F00BD"/>
    <w:rsid w:val="001F01BF"/>
    <w:rsid w:val="001F02FA"/>
    <w:rsid w:val="001F06AE"/>
    <w:rsid w:val="001F08B2"/>
    <w:rsid w:val="001F0A6D"/>
    <w:rsid w:val="001F0AAC"/>
    <w:rsid w:val="001F0C2C"/>
    <w:rsid w:val="001F12E4"/>
    <w:rsid w:val="001F14C1"/>
    <w:rsid w:val="001F16CB"/>
    <w:rsid w:val="001F1704"/>
    <w:rsid w:val="001F18DE"/>
    <w:rsid w:val="001F1CA5"/>
    <w:rsid w:val="001F1CAC"/>
    <w:rsid w:val="001F1E2B"/>
    <w:rsid w:val="001F1F19"/>
    <w:rsid w:val="001F1F7A"/>
    <w:rsid w:val="001F22C3"/>
    <w:rsid w:val="001F254F"/>
    <w:rsid w:val="001F2B4E"/>
    <w:rsid w:val="001F2B6E"/>
    <w:rsid w:val="001F2C02"/>
    <w:rsid w:val="001F3532"/>
    <w:rsid w:val="001F360C"/>
    <w:rsid w:val="001F39B0"/>
    <w:rsid w:val="001F3C10"/>
    <w:rsid w:val="001F3FCA"/>
    <w:rsid w:val="001F438B"/>
    <w:rsid w:val="001F47EF"/>
    <w:rsid w:val="001F4893"/>
    <w:rsid w:val="001F4BA4"/>
    <w:rsid w:val="001F4C34"/>
    <w:rsid w:val="001F4D40"/>
    <w:rsid w:val="001F4E0F"/>
    <w:rsid w:val="001F508F"/>
    <w:rsid w:val="001F50D2"/>
    <w:rsid w:val="001F52ED"/>
    <w:rsid w:val="001F560C"/>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53A1"/>
    <w:rsid w:val="0020540C"/>
    <w:rsid w:val="002056E2"/>
    <w:rsid w:val="002059AC"/>
    <w:rsid w:val="00205CC9"/>
    <w:rsid w:val="00205F37"/>
    <w:rsid w:val="002061E0"/>
    <w:rsid w:val="002064FE"/>
    <w:rsid w:val="0020655B"/>
    <w:rsid w:val="0020677C"/>
    <w:rsid w:val="00206CB7"/>
    <w:rsid w:val="00206CC4"/>
    <w:rsid w:val="00206FA9"/>
    <w:rsid w:val="00207136"/>
    <w:rsid w:val="002074EB"/>
    <w:rsid w:val="00207641"/>
    <w:rsid w:val="0020769D"/>
    <w:rsid w:val="002077D6"/>
    <w:rsid w:val="00207B43"/>
    <w:rsid w:val="00207BB1"/>
    <w:rsid w:val="00207C49"/>
    <w:rsid w:val="00207EA6"/>
    <w:rsid w:val="0021071B"/>
    <w:rsid w:val="00210900"/>
    <w:rsid w:val="00210CD7"/>
    <w:rsid w:val="00210CE7"/>
    <w:rsid w:val="00211263"/>
    <w:rsid w:val="002112DA"/>
    <w:rsid w:val="00211A35"/>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8FA"/>
    <w:rsid w:val="00213B2A"/>
    <w:rsid w:val="00213B48"/>
    <w:rsid w:val="00213C81"/>
    <w:rsid w:val="00213E13"/>
    <w:rsid w:val="00213FFA"/>
    <w:rsid w:val="002140A6"/>
    <w:rsid w:val="002141BA"/>
    <w:rsid w:val="002146A8"/>
    <w:rsid w:val="00214729"/>
    <w:rsid w:val="00214C34"/>
    <w:rsid w:val="00214DCD"/>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590"/>
    <w:rsid w:val="002207CB"/>
    <w:rsid w:val="002207CD"/>
    <w:rsid w:val="00220931"/>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3E3"/>
    <w:rsid w:val="002263ED"/>
    <w:rsid w:val="00226865"/>
    <w:rsid w:val="00226A0B"/>
    <w:rsid w:val="00226BB0"/>
    <w:rsid w:val="0022746C"/>
    <w:rsid w:val="002275B0"/>
    <w:rsid w:val="002275B2"/>
    <w:rsid w:val="00227688"/>
    <w:rsid w:val="002302DB"/>
    <w:rsid w:val="00230811"/>
    <w:rsid w:val="00230AF6"/>
    <w:rsid w:val="00230EF1"/>
    <w:rsid w:val="00230F23"/>
    <w:rsid w:val="002311D7"/>
    <w:rsid w:val="0023130C"/>
    <w:rsid w:val="002313D9"/>
    <w:rsid w:val="00231446"/>
    <w:rsid w:val="00231935"/>
    <w:rsid w:val="00231E3A"/>
    <w:rsid w:val="002321C5"/>
    <w:rsid w:val="0023222B"/>
    <w:rsid w:val="002323EB"/>
    <w:rsid w:val="0023247D"/>
    <w:rsid w:val="00232958"/>
    <w:rsid w:val="002329E9"/>
    <w:rsid w:val="00232D09"/>
    <w:rsid w:val="00232D73"/>
    <w:rsid w:val="00233124"/>
    <w:rsid w:val="00233302"/>
    <w:rsid w:val="00233396"/>
    <w:rsid w:val="00233730"/>
    <w:rsid w:val="00233818"/>
    <w:rsid w:val="00233EFF"/>
    <w:rsid w:val="002342DD"/>
    <w:rsid w:val="002344A0"/>
    <w:rsid w:val="00234A7A"/>
    <w:rsid w:val="00234B22"/>
    <w:rsid w:val="00234C8F"/>
    <w:rsid w:val="00234FAA"/>
    <w:rsid w:val="00235058"/>
    <w:rsid w:val="002352F4"/>
    <w:rsid w:val="00235305"/>
    <w:rsid w:val="00235474"/>
    <w:rsid w:val="00235544"/>
    <w:rsid w:val="00235763"/>
    <w:rsid w:val="002357D0"/>
    <w:rsid w:val="00235A38"/>
    <w:rsid w:val="002361CA"/>
    <w:rsid w:val="0023667C"/>
    <w:rsid w:val="00236700"/>
    <w:rsid w:val="002368A1"/>
    <w:rsid w:val="00236AA7"/>
    <w:rsid w:val="00236B61"/>
    <w:rsid w:val="00236B8F"/>
    <w:rsid w:val="00236DD3"/>
    <w:rsid w:val="0023752A"/>
    <w:rsid w:val="00237969"/>
    <w:rsid w:val="00237B9D"/>
    <w:rsid w:val="00237C3B"/>
    <w:rsid w:val="00237D55"/>
    <w:rsid w:val="00237E9C"/>
    <w:rsid w:val="00240150"/>
    <w:rsid w:val="002401C4"/>
    <w:rsid w:val="0024026B"/>
    <w:rsid w:val="0024078E"/>
    <w:rsid w:val="0024086C"/>
    <w:rsid w:val="002409B5"/>
    <w:rsid w:val="00240E43"/>
    <w:rsid w:val="00240E56"/>
    <w:rsid w:val="00240FBA"/>
    <w:rsid w:val="002412BF"/>
    <w:rsid w:val="002413CD"/>
    <w:rsid w:val="00241483"/>
    <w:rsid w:val="002416FE"/>
    <w:rsid w:val="00241C61"/>
    <w:rsid w:val="00241EA1"/>
    <w:rsid w:val="0024201D"/>
    <w:rsid w:val="002421B4"/>
    <w:rsid w:val="002427F2"/>
    <w:rsid w:val="0024369C"/>
    <w:rsid w:val="00243E46"/>
    <w:rsid w:val="00243E49"/>
    <w:rsid w:val="00243EC2"/>
    <w:rsid w:val="00243F28"/>
    <w:rsid w:val="00244347"/>
    <w:rsid w:val="00244A81"/>
    <w:rsid w:val="00244CE4"/>
    <w:rsid w:val="00244DD6"/>
    <w:rsid w:val="00245113"/>
    <w:rsid w:val="0024530E"/>
    <w:rsid w:val="002453A0"/>
    <w:rsid w:val="002457C9"/>
    <w:rsid w:val="00245B09"/>
    <w:rsid w:val="00245F1A"/>
    <w:rsid w:val="00246298"/>
    <w:rsid w:val="00246453"/>
    <w:rsid w:val="00246561"/>
    <w:rsid w:val="00246A67"/>
    <w:rsid w:val="00246B53"/>
    <w:rsid w:val="002475D3"/>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8E8"/>
    <w:rsid w:val="00255B9E"/>
    <w:rsid w:val="00255CDE"/>
    <w:rsid w:val="00255D3F"/>
    <w:rsid w:val="00256478"/>
    <w:rsid w:val="00256B58"/>
    <w:rsid w:val="00256C8B"/>
    <w:rsid w:val="002572EA"/>
    <w:rsid w:val="002573BB"/>
    <w:rsid w:val="002574EE"/>
    <w:rsid w:val="002575CB"/>
    <w:rsid w:val="002579C8"/>
    <w:rsid w:val="00257BA5"/>
    <w:rsid w:val="00257C26"/>
    <w:rsid w:val="00257E9D"/>
    <w:rsid w:val="00257EBD"/>
    <w:rsid w:val="00260753"/>
    <w:rsid w:val="002609BD"/>
    <w:rsid w:val="00260B57"/>
    <w:rsid w:val="00260DC3"/>
    <w:rsid w:val="0026130C"/>
    <w:rsid w:val="002617E4"/>
    <w:rsid w:val="00261E4B"/>
    <w:rsid w:val="00261F48"/>
    <w:rsid w:val="00262026"/>
    <w:rsid w:val="002620F9"/>
    <w:rsid w:val="00262256"/>
    <w:rsid w:val="002624AB"/>
    <w:rsid w:val="002625DD"/>
    <w:rsid w:val="00262D3B"/>
    <w:rsid w:val="00262D69"/>
    <w:rsid w:val="00262F3F"/>
    <w:rsid w:val="00263019"/>
    <w:rsid w:val="002631A0"/>
    <w:rsid w:val="00263241"/>
    <w:rsid w:val="002633A6"/>
    <w:rsid w:val="002635A2"/>
    <w:rsid w:val="0026371B"/>
    <w:rsid w:val="00263BEE"/>
    <w:rsid w:val="00263C2A"/>
    <w:rsid w:val="00263CEB"/>
    <w:rsid w:val="00263D9A"/>
    <w:rsid w:val="0026418A"/>
    <w:rsid w:val="002646A3"/>
    <w:rsid w:val="002648B0"/>
    <w:rsid w:val="00264F6D"/>
    <w:rsid w:val="0026507B"/>
    <w:rsid w:val="002652B0"/>
    <w:rsid w:val="002657E9"/>
    <w:rsid w:val="00265D85"/>
    <w:rsid w:val="00265D91"/>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946"/>
    <w:rsid w:val="002709F8"/>
    <w:rsid w:val="00271117"/>
    <w:rsid w:val="00271179"/>
    <w:rsid w:val="0027121D"/>
    <w:rsid w:val="00271345"/>
    <w:rsid w:val="00271525"/>
    <w:rsid w:val="0027157C"/>
    <w:rsid w:val="002717A3"/>
    <w:rsid w:val="00271A29"/>
    <w:rsid w:val="00271AC2"/>
    <w:rsid w:val="00271FAF"/>
    <w:rsid w:val="00272006"/>
    <w:rsid w:val="00272414"/>
    <w:rsid w:val="00272585"/>
    <w:rsid w:val="002726EB"/>
    <w:rsid w:val="002728ED"/>
    <w:rsid w:val="00272D97"/>
    <w:rsid w:val="0027382C"/>
    <w:rsid w:val="00273AA1"/>
    <w:rsid w:val="00273C79"/>
    <w:rsid w:val="00273CCD"/>
    <w:rsid w:val="00273EB1"/>
    <w:rsid w:val="00274054"/>
    <w:rsid w:val="002743AC"/>
    <w:rsid w:val="00274641"/>
    <w:rsid w:val="00274704"/>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CE3"/>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8"/>
    <w:rsid w:val="002819BF"/>
    <w:rsid w:val="00281BAB"/>
    <w:rsid w:val="00281D2C"/>
    <w:rsid w:val="00281DEC"/>
    <w:rsid w:val="00281F30"/>
    <w:rsid w:val="00281FAD"/>
    <w:rsid w:val="002823D8"/>
    <w:rsid w:val="00282534"/>
    <w:rsid w:val="002827A7"/>
    <w:rsid w:val="00282907"/>
    <w:rsid w:val="00282B5F"/>
    <w:rsid w:val="00282CFE"/>
    <w:rsid w:val="002830AC"/>
    <w:rsid w:val="002833A2"/>
    <w:rsid w:val="00283D10"/>
    <w:rsid w:val="00283D3F"/>
    <w:rsid w:val="00283E58"/>
    <w:rsid w:val="00284362"/>
    <w:rsid w:val="00284367"/>
    <w:rsid w:val="0028441C"/>
    <w:rsid w:val="00284673"/>
    <w:rsid w:val="00284D1E"/>
    <w:rsid w:val="0028505E"/>
    <w:rsid w:val="00285225"/>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406"/>
    <w:rsid w:val="00287506"/>
    <w:rsid w:val="002876F5"/>
    <w:rsid w:val="0028777E"/>
    <w:rsid w:val="0028792A"/>
    <w:rsid w:val="00287D2A"/>
    <w:rsid w:val="00287D9B"/>
    <w:rsid w:val="0029071C"/>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5422"/>
    <w:rsid w:val="002954A1"/>
    <w:rsid w:val="00295560"/>
    <w:rsid w:val="002955EE"/>
    <w:rsid w:val="00295A03"/>
    <w:rsid w:val="00295E2B"/>
    <w:rsid w:val="00295ED8"/>
    <w:rsid w:val="00295F59"/>
    <w:rsid w:val="00296077"/>
    <w:rsid w:val="002967F8"/>
    <w:rsid w:val="00296BA1"/>
    <w:rsid w:val="00296C0B"/>
    <w:rsid w:val="00296FE9"/>
    <w:rsid w:val="00297314"/>
    <w:rsid w:val="002974BF"/>
    <w:rsid w:val="00297743"/>
    <w:rsid w:val="002979B6"/>
    <w:rsid w:val="00297ACA"/>
    <w:rsid w:val="00297D26"/>
    <w:rsid w:val="002A04D2"/>
    <w:rsid w:val="002A06E2"/>
    <w:rsid w:val="002A0E29"/>
    <w:rsid w:val="002A1670"/>
    <w:rsid w:val="002A16DF"/>
    <w:rsid w:val="002A1AED"/>
    <w:rsid w:val="002A1BAA"/>
    <w:rsid w:val="002A1CAD"/>
    <w:rsid w:val="002A1E89"/>
    <w:rsid w:val="002A22A1"/>
    <w:rsid w:val="002A23B1"/>
    <w:rsid w:val="002A2461"/>
    <w:rsid w:val="002A2B70"/>
    <w:rsid w:val="002A2BD0"/>
    <w:rsid w:val="002A31DD"/>
    <w:rsid w:val="002A33B7"/>
    <w:rsid w:val="002A378A"/>
    <w:rsid w:val="002A3ABA"/>
    <w:rsid w:val="002A3BD5"/>
    <w:rsid w:val="002A3C56"/>
    <w:rsid w:val="002A3FAE"/>
    <w:rsid w:val="002A42C4"/>
    <w:rsid w:val="002A42D0"/>
    <w:rsid w:val="002A44E2"/>
    <w:rsid w:val="002A457B"/>
    <w:rsid w:val="002A45D8"/>
    <w:rsid w:val="002A4B57"/>
    <w:rsid w:val="002A4D6F"/>
    <w:rsid w:val="002A4EB0"/>
    <w:rsid w:val="002A5019"/>
    <w:rsid w:val="002A57E1"/>
    <w:rsid w:val="002A5812"/>
    <w:rsid w:val="002A5BD5"/>
    <w:rsid w:val="002A5CAD"/>
    <w:rsid w:val="002A6D2B"/>
    <w:rsid w:val="002A6FB3"/>
    <w:rsid w:val="002A7368"/>
    <w:rsid w:val="002A76CA"/>
    <w:rsid w:val="002A79B0"/>
    <w:rsid w:val="002A7C88"/>
    <w:rsid w:val="002B01C7"/>
    <w:rsid w:val="002B0238"/>
    <w:rsid w:val="002B0669"/>
    <w:rsid w:val="002B0694"/>
    <w:rsid w:val="002B0787"/>
    <w:rsid w:val="002B07FC"/>
    <w:rsid w:val="002B0844"/>
    <w:rsid w:val="002B0B42"/>
    <w:rsid w:val="002B10F5"/>
    <w:rsid w:val="002B119B"/>
    <w:rsid w:val="002B1260"/>
    <w:rsid w:val="002B1B76"/>
    <w:rsid w:val="002B22D7"/>
    <w:rsid w:val="002B2F28"/>
    <w:rsid w:val="002B2F5E"/>
    <w:rsid w:val="002B3110"/>
    <w:rsid w:val="002B3312"/>
    <w:rsid w:val="002B336A"/>
    <w:rsid w:val="002B370D"/>
    <w:rsid w:val="002B3BC2"/>
    <w:rsid w:val="002B42B6"/>
    <w:rsid w:val="002B4587"/>
    <w:rsid w:val="002B4633"/>
    <w:rsid w:val="002B4867"/>
    <w:rsid w:val="002B4D65"/>
    <w:rsid w:val="002B5523"/>
    <w:rsid w:val="002B59B6"/>
    <w:rsid w:val="002B5BD6"/>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61B"/>
    <w:rsid w:val="002C06A5"/>
    <w:rsid w:val="002C09D3"/>
    <w:rsid w:val="002C0AF7"/>
    <w:rsid w:val="002C0D2D"/>
    <w:rsid w:val="002C1244"/>
    <w:rsid w:val="002C1254"/>
    <w:rsid w:val="002C1378"/>
    <w:rsid w:val="002C1515"/>
    <w:rsid w:val="002C1608"/>
    <w:rsid w:val="002C1694"/>
    <w:rsid w:val="002C1FF8"/>
    <w:rsid w:val="002C22B6"/>
    <w:rsid w:val="002C22FE"/>
    <w:rsid w:val="002C247F"/>
    <w:rsid w:val="002C2491"/>
    <w:rsid w:val="002C24BF"/>
    <w:rsid w:val="002C2645"/>
    <w:rsid w:val="002C26B3"/>
    <w:rsid w:val="002C2B91"/>
    <w:rsid w:val="002C2D40"/>
    <w:rsid w:val="002C2E8D"/>
    <w:rsid w:val="002C3233"/>
    <w:rsid w:val="002C3590"/>
    <w:rsid w:val="002C362D"/>
    <w:rsid w:val="002C392F"/>
    <w:rsid w:val="002C3953"/>
    <w:rsid w:val="002C3BF6"/>
    <w:rsid w:val="002C3DC8"/>
    <w:rsid w:val="002C4414"/>
    <w:rsid w:val="002C4898"/>
    <w:rsid w:val="002C49DC"/>
    <w:rsid w:val="002C4D20"/>
    <w:rsid w:val="002C4D94"/>
    <w:rsid w:val="002C4DD6"/>
    <w:rsid w:val="002C4FD7"/>
    <w:rsid w:val="002C509A"/>
    <w:rsid w:val="002C5BBA"/>
    <w:rsid w:val="002C5C61"/>
    <w:rsid w:val="002C5D62"/>
    <w:rsid w:val="002C6034"/>
    <w:rsid w:val="002C6318"/>
    <w:rsid w:val="002C6675"/>
    <w:rsid w:val="002C671F"/>
    <w:rsid w:val="002C696F"/>
    <w:rsid w:val="002C69D9"/>
    <w:rsid w:val="002C69E3"/>
    <w:rsid w:val="002C69F8"/>
    <w:rsid w:val="002C6D13"/>
    <w:rsid w:val="002C6D83"/>
    <w:rsid w:val="002C7016"/>
    <w:rsid w:val="002C7090"/>
    <w:rsid w:val="002C7649"/>
    <w:rsid w:val="002C774A"/>
    <w:rsid w:val="002C7A16"/>
    <w:rsid w:val="002C7AAB"/>
    <w:rsid w:val="002D0691"/>
    <w:rsid w:val="002D06D6"/>
    <w:rsid w:val="002D073A"/>
    <w:rsid w:val="002D078F"/>
    <w:rsid w:val="002D08C0"/>
    <w:rsid w:val="002D09A5"/>
    <w:rsid w:val="002D1070"/>
    <w:rsid w:val="002D1571"/>
    <w:rsid w:val="002D15A9"/>
    <w:rsid w:val="002D16FF"/>
    <w:rsid w:val="002D17AB"/>
    <w:rsid w:val="002D17F9"/>
    <w:rsid w:val="002D1D5B"/>
    <w:rsid w:val="002D1D6E"/>
    <w:rsid w:val="002D1EA2"/>
    <w:rsid w:val="002D2043"/>
    <w:rsid w:val="002D2279"/>
    <w:rsid w:val="002D2479"/>
    <w:rsid w:val="002D24B3"/>
    <w:rsid w:val="002D2519"/>
    <w:rsid w:val="002D255C"/>
    <w:rsid w:val="002D26E5"/>
    <w:rsid w:val="002D2723"/>
    <w:rsid w:val="002D2F73"/>
    <w:rsid w:val="002D2F94"/>
    <w:rsid w:val="002D3399"/>
    <w:rsid w:val="002D382D"/>
    <w:rsid w:val="002D39B4"/>
    <w:rsid w:val="002D3F6C"/>
    <w:rsid w:val="002D4312"/>
    <w:rsid w:val="002D4520"/>
    <w:rsid w:val="002D4706"/>
    <w:rsid w:val="002D4907"/>
    <w:rsid w:val="002D4BEE"/>
    <w:rsid w:val="002D4C07"/>
    <w:rsid w:val="002D4D31"/>
    <w:rsid w:val="002D4E8B"/>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61F"/>
    <w:rsid w:val="002E093C"/>
    <w:rsid w:val="002E0BB0"/>
    <w:rsid w:val="002E0FC6"/>
    <w:rsid w:val="002E16C0"/>
    <w:rsid w:val="002E1B11"/>
    <w:rsid w:val="002E210F"/>
    <w:rsid w:val="002E22E5"/>
    <w:rsid w:val="002E2488"/>
    <w:rsid w:val="002E251E"/>
    <w:rsid w:val="002E254A"/>
    <w:rsid w:val="002E2C4F"/>
    <w:rsid w:val="002E3677"/>
    <w:rsid w:val="002E37FA"/>
    <w:rsid w:val="002E3820"/>
    <w:rsid w:val="002E38DE"/>
    <w:rsid w:val="002E3B5F"/>
    <w:rsid w:val="002E3BCA"/>
    <w:rsid w:val="002E42B9"/>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D5F"/>
    <w:rsid w:val="002E7E43"/>
    <w:rsid w:val="002F025F"/>
    <w:rsid w:val="002F0288"/>
    <w:rsid w:val="002F052A"/>
    <w:rsid w:val="002F0B5B"/>
    <w:rsid w:val="002F0BC6"/>
    <w:rsid w:val="002F1255"/>
    <w:rsid w:val="002F170A"/>
    <w:rsid w:val="002F1CC2"/>
    <w:rsid w:val="002F1DC3"/>
    <w:rsid w:val="002F1F35"/>
    <w:rsid w:val="002F214C"/>
    <w:rsid w:val="002F22CC"/>
    <w:rsid w:val="002F24DA"/>
    <w:rsid w:val="002F27CE"/>
    <w:rsid w:val="002F2CF3"/>
    <w:rsid w:val="002F2D43"/>
    <w:rsid w:val="002F316D"/>
    <w:rsid w:val="002F3228"/>
    <w:rsid w:val="002F38CB"/>
    <w:rsid w:val="002F3961"/>
    <w:rsid w:val="002F3E99"/>
    <w:rsid w:val="002F4476"/>
    <w:rsid w:val="002F456F"/>
    <w:rsid w:val="002F47A6"/>
    <w:rsid w:val="002F48D6"/>
    <w:rsid w:val="002F4C5D"/>
    <w:rsid w:val="002F4CC1"/>
    <w:rsid w:val="002F4CCB"/>
    <w:rsid w:val="002F4CF3"/>
    <w:rsid w:val="002F4EC5"/>
    <w:rsid w:val="002F507D"/>
    <w:rsid w:val="002F564A"/>
    <w:rsid w:val="002F57A5"/>
    <w:rsid w:val="002F5B38"/>
    <w:rsid w:val="002F5E47"/>
    <w:rsid w:val="002F5FED"/>
    <w:rsid w:val="002F6093"/>
    <w:rsid w:val="002F6278"/>
    <w:rsid w:val="002F7065"/>
    <w:rsid w:val="002F73AF"/>
    <w:rsid w:val="002F7573"/>
    <w:rsid w:val="002F761A"/>
    <w:rsid w:val="002F776A"/>
    <w:rsid w:val="002F77BD"/>
    <w:rsid w:val="002F7BA0"/>
    <w:rsid w:val="002F7BE9"/>
    <w:rsid w:val="002F7CF7"/>
    <w:rsid w:val="00300156"/>
    <w:rsid w:val="0030043B"/>
    <w:rsid w:val="00300765"/>
    <w:rsid w:val="00300C5D"/>
    <w:rsid w:val="0030106E"/>
    <w:rsid w:val="0030112D"/>
    <w:rsid w:val="00301223"/>
    <w:rsid w:val="00301353"/>
    <w:rsid w:val="003018E8"/>
    <w:rsid w:val="00301957"/>
    <w:rsid w:val="00301B91"/>
    <w:rsid w:val="00301C04"/>
    <w:rsid w:val="00301E8D"/>
    <w:rsid w:val="00302017"/>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E7"/>
    <w:rsid w:val="00304E2C"/>
    <w:rsid w:val="00304ECC"/>
    <w:rsid w:val="0030529F"/>
    <w:rsid w:val="003052AE"/>
    <w:rsid w:val="00305406"/>
    <w:rsid w:val="00305417"/>
    <w:rsid w:val="0030542F"/>
    <w:rsid w:val="00305899"/>
    <w:rsid w:val="0030595F"/>
    <w:rsid w:val="00305A1A"/>
    <w:rsid w:val="00305B09"/>
    <w:rsid w:val="00305D4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3D"/>
    <w:rsid w:val="00310DCE"/>
    <w:rsid w:val="0031116A"/>
    <w:rsid w:val="0031130F"/>
    <w:rsid w:val="003113D3"/>
    <w:rsid w:val="0031142E"/>
    <w:rsid w:val="00311614"/>
    <w:rsid w:val="003117B2"/>
    <w:rsid w:val="00311BD8"/>
    <w:rsid w:val="00311D0C"/>
    <w:rsid w:val="00312027"/>
    <w:rsid w:val="0031203F"/>
    <w:rsid w:val="00312041"/>
    <w:rsid w:val="003120CC"/>
    <w:rsid w:val="003122B7"/>
    <w:rsid w:val="00312301"/>
    <w:rsid w:val="003123AA"/>
    <w:rsid w:val="0031256E"/>
    <w:rsid w:val="003132D7"/>
    <w:rsid w:val="0031357B"/>
    <w:rsid w:val="00313649"/>
    <w:rsid w:val="00313857"/>
    <w:rsid w:val="00313BD2"/>
    <w:rsid w:val="00314056"/>
    <w:rsid w:val="00314445"/>
    <w:rsid w:val="003145CD"/>
    <w:rsid w:val="00314632"/>
    <w:rsid w:val="00314821"/>
    <w:rsid w:val="00314D4D"/>
    <w:rsid w:val="00314F85"/>
    <w:rsid w:val="00314FF6"/>
    <w:rsid w:val="00315119"/>
    <w:rsid w:val="003152F9"/>
    <w:rsid w:val="003154CD"/>
    <w:rsid w:val="00315752"/>
    <w:rsid w:val="00315D43"/>
    <w:rsid w:val="00315E6C"/>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65"/>
    <w:rsid w:val="00322CB6"/>
    <w:rsid w:val="00322F3E"/>
    <w:rsid w:val="00322F82"/>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7A"/>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BE4"/>
    <w:rsid w:val="00331F42"/>
    <w:rsid w:val="003324D7"/>
    <w:rsid w:val="0033281D"/>
    <w:rsid w:val="00332C08"/>
    <w:rsid w:val="00332C39"/>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2C"/>
    <w:rsid w:val="00334BCC"/>
    <w:rsid w:val="00334CCE"/>
    <w:rsid w:val="00334E22"/>
    <w:rsid w:val="003350D4"/>
    <w:rsid w:val="00335442"/>
    <w:rsid w:val="003359D0"/>
    <w:rsid w:val="00335D9C"/>
    <w:rsid w:val="00335FD9"/>
    <w:rsid w:val="00335FE5"/>
    <w:rsid w:val="00336022"/>
    <w:rsid w:val="003364B0"/>
    <w:rsid w:val="00336A20"/>
    <w:rsid w:val="00336CF4"/>
    <w:rsid w:val="00336EE1"/>
    <w:rsid w:val="00336F7E"/>
    <w:rsid w:val="00336FFD"/>
    <w:rsid w:val="00337044"/>
    <w:rsid w:val="0033722D"/>
    <w:rsid w:val="0033729D"/>
    <w:rsid w:val="003372EF"/>
    <w:rsid w:val="0033752C"/>
    <w:rsid w:val="0033758E"/>
    <w:rsid w:val="0033779F"/>
    <w:rsid w:val="0033790D"/>
    <w:rsid w:val="00337A68"/>
    <w:rsid w:val="00337F9C"/>
    <w:rsid w:val="0034028C"/>
    <w:rsid w:val="003407C3"/>
    <w:rsid w:val="0034089D"/>
    <w:rsid w:val="003409C7"/>
    <w:rsid w:val="00340AFC"/>
    <w:rsid w:val="00341731"/>
    <w:rsid w:val="003417BB"/>
    <w:rsid w:val="0034180F"/>
    <w:rsid w:val="0034194F"/>
    <w:rsid w:val="00342196"/>
    <w:rsid w:val="003421A8"/>
    <w:rsid w:val="0034220E"/>
    <w:rsid w:val="003426D5"/>
    <w:rsid w:val="00342752"/>
    <w:rsid w:val="0034291E"/>
    <w:rsid w:val="00342C19"/>
    <w:rsid w:val="00343224"/>
    <w:rsid w:val="00343302"/>
    <w:rsid w:val="003433F8"/>
    <w:rsid w:val="003435DD"/>
    <w:rsid w:val="003437D8"/>
    <w:rsid w:val="00343F46"/>
    <w:rsid w:val="003440CC"/>
    <w:rsid w:val="00344855"/>
    <w:rsid w:val="00344A2E"/>
    <w:rsid w:val="00344C05"/>
    <w:rsid w:val="00344E46"/>
    <w:rsid w:val="00344ECB"/>
    <w:rsid w:val="00344F46"/>
    <w:rsid w:val="00345147"/>
    <w:rsid w:val="0034521D"/>
    <w:rsid w:val="00345288"/>
    <w:rsid w:val="003453CD"/>
    <w:rsid w:val="00345B00"/>
    <w:rsid w:val="00345C74"/>
    <w:rsid w:val="00345EBD"/>
    <w:rsid w:val="00345FCD"/>
    <w:rsid w:val="0034602B"/>
    <w:rsid w:val="003461B2"/>
    <w:rsid w:val="0034640B"/>
    <w:rsid w:val="003464B3"/>
    <w:rsid w:val="0034665D"/>
    <w:rsid w:val="003468A8"/>
    <w:rsid w:val="00346C9B"/>
    <w:rsid w:val="00346CFA"/>
    <w:rsid w:val="00346D90"/>
    <w:rsid w:val="0034702A"/>
    <w:rsid w:val="00347253"/>
    <w:rsid w:val="003478CD"/>
    <w:rsid w:val="00347B40"/>
    <w:rsid w:val="00347B6D"/>
    <w:rsid w:val="00347F3F"/>
    <w:rsid w:val="00347FCD"/>
    <w:rsid w:val="00347FDF"/>
    <w:rsid w:val="003503D6"/>
    <w:rsid w:val="00350864"/>
    <w:rsid w:val="00350BB9"/>
    <w:rsid w:val="0035104A"/>
    <w:rsid w:val="00351265"/>
    <w:rsid w:val="00351643"/>
    <w:rsid w:val="0035183E"/>
    <w:rsid w:val="00351874"/>
    <w:rsid w:val="00351B3E"/>
    <w:rsid w:val="00351BC6"/>
    <w:rsid w:val="00351D45"/>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516"/>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7A"/>
    <w:rsid w:val="0036206F"/>
    <w:rsid w:val="0036241A"/>
    <w:rsid w:val="003624FC"/>
    <w:rsid w:val="003626FA"/>
    <w:rsid w:val="0036283C"/>
    <w:rsid w:val="00362CF4"/>
    <w:rsid w:val="00362D95"/>
    <w:rsid w:val="00363552"/>
    <w:rsid w:val="00363588"/>
    <w:rsid w:val="00363A13"/>
    <w:rsid w:val="00363D6C"/>
    <w:rsid w:val="003641C6"/>
    <w:rsid w:val="0036452E"/>
    <w:rsid w:val="003647DD"/>
    <w:rsid w:val="00364D80"/>
    <w:rsid w:val="003650E7"/>
    <w:rsid w:val="0036569E"/>
    <w:rsid w:val="00365A53"/>
    <w:rsid w:val="00365FA4"/>
    <w:rsid w:val="00366097"/>
    <w:rsid w:val="00366435"/>
    <w:rsid w:val="00366493"/>
    <w:rsid w:val="00366F97"/>
    <w:rsid w:val="00367352"/>
    <w:rsid w:val="00367491"/>
    <w:rsid w:val="003675DA"/>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93E"/>
    <w:rsid w:val="0037397C"/>
    <w:rsid w:val="00373EFB"/>
    <w:rsid w:val="00374106"/>
    <w:rsid w:val="00374248"/>
    <w:rsid w:val="003742E4"/>
    <w:rsid w:val="00374478"/>
    <w:rsid w:val="0037448C"/>
    <w:rsid w:val="00374A95"/>
    <w:rsid w:val="00374DE4"/>
    <w:rsid w:val="0037540A"/>
    <w:rsid w:val="003755B1"/>
    <w:rsid w:val="00375EAC"/>
    <w:rsid w:val="003763FC"/>
    <w:rsid w:val="00376573"/>
    <w:rsid w:val="003766FD"/>
    <w:rsid w:val="00376765"/>
    <w:rsid w:val="003767BB"/>
    <w:rsid w:val="003769BD"/>
    <w:rsid w:val="0037711F"/>
    <w:rsid w:val="003771A5"/>
    <w:rsid w:val="00377325"/>
    <w:rsid w:val="00377417"/>
    <w:rsid w:val="0037786D"/>
    <w:rsid w:val="00377CDF"/>
    <w:rsid w:val="00377EF7"/>
    <w:rsid w:val="00380140"/>
    <w:rsid w:val="003803CF"/>
    <w:rsid w:val="003805F8"/>
    <w:rsid w:val="003806CD"/>
    <w:rsid w:val="00380D7F"/>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1EC"/>
    <w:rsid w:val="00384268"/>
    <w:rsid w:val="00384CFE"/>
    <w:rsid w:val="0038532C"/>
    <w:rsid w:val="00385B76"/>
    <w:rsid w:val="00385CEB"/>
    <w:rsid w:val="0038672E"/>
    <w:rsid w:val="00386944"/>
    <w:rsid w:val="00386C50"/>
    <w:rsid w:val="00386D1C"/>
    <w:rsid w:val="00386DF8"/>
    <w:rsid w:val="003870EF"/>
    <w:rsid w:val="00387630"/>
    <w:rsid w:val="0038772F"/>
    <w:rsid w:val="00387757"/>
    <w:rsid w:val="003877CD"/>
    <w:rsid w:val="00387A38"/>
    <w:rsid w:val="00387C28"/>
    <w:rsid w:val="00387EC7"/>
    <w:rsid w:val="003900B9"/>
    <w:rsid w:val="003901EC"/>
    <w:rsid w:val="003907D6"/>
    <w:rsid w:val="00390C9F"/>
    <w:rsid w:val="00390D20"/>
    <w:rsid w:val="00391288"/>
    <w:rsid w:val="0039133B"/>
    <w:rsid w:val="003916D3"/>
    <w:rsid w:val="003919B8"/>
    <w:rsid w:val="00391D58"/>
    <w:rsid w:val="00391DEB"/>
    <w:rsid w:val="00392313"/>
    <w:rsid w:val="0039234B"/>
    <w:rsid w:val="003925C9"/>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7"/>
    <w:rsid w:val="003966CC"/>
    <w:rsid w:val="00396BC0"/>
    <w:rsid w:val="00396C26"/>
    <w:rsid w:val="0039703F"/>
    <w:rsid w:val="0039738B"/>
    <w:rsid w:val="00397767"/>
    <w:rsid w:val="0039790C"/>
    <w:rsid w:val="00397A79"/>
    <w:rsid w:val="00397BF7"/>
    <w:rsid w:val="00397C67"/>
    <w:rsid w:val="00397CAD"/>
    <w:rsid w:val="00397CD4"/>
    <w:rsid w:val="00397E3F"/>
    <w:rsid w:val="00397ECA"/>
    <w:rsid w:val="003A003D"/>
    <w:rsid w:val="003A0802"/>
    <w:rsid w:val="003A0B7F"/>
    <w:rsid w:val="003A0E9D"/>
    <w:rsid w:val="003A14CD"/>
    <w:rsid w:val="003A1B0B"/>
    <w:rsid w:val="003A1B3F"/>
    <w:rsid w:val="003A1BD2"/>
    <w:rsid w:val="003A1BE0"/>
    <w:rsid w:val="003A1DA5"/>
    <w:rsid w:val="003A2A3B"/>
    <w:rsid w:val="003A2B6B"/>
    <w:rsid w:val="003A2B9E"/>
    <w:rsid w:val="003A2CC1"/>
    <w:rsid w:val="003A2D83"/>
    <w:rsid w:val="003A2E8E"/>
    <w:rsid w:val="003A30B0"/>
    <w:rsid w:val="003A318D"/>
    <w:rsid w:val="003A32F2"/>
    <w:rsid w:val="003A331C"/>
    <w:rsid w:val="003A375E"/>
    <w:rsid w:val="003A38E1"/>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D1"/>
    <w:rsid w:val="003A6516"/>
    <w:rsid w:val="003A65BE"/>
    <w:rsid w:val="003A69ED"/>
    <w:rsid w:val="003A6C34"/>
    <w:rsid w:val="003A6CC9"/>
    <w:rsid w:val="003A6E97"/>
    <w:rsid w:val="003A6FE8"/>
    <w:rsid w:val="003A70CA"/>
    <w:rsid w:val="003A7426"/>
    <w:rsid w:val="003A75D8"/>
    <w:rsid w:val="003A7714"/>
    <w:rsid w:val="003A77A1"/>
    <w:rsid w:val="003A787B"/>
    <w:rsid w:val="003A7AD4"/>
    <w:rsid w:val="003A7EBD"/>
    <w:rsid w:val="003B011A"/>
    <w:rsid w:val="003B04F1"/>
    <w:rsid w:val="003B0679"/>
    <w:rsid w:val="003B0B72"/>
    <w:rsid w:val="003B1074"/>
    <w:rsid w:val="003B14F5"/>
    <w:rsid w:val="003B16D6"/>
    <w:rsid w:val="003B1813"/>
    <w:rsid w:val="003B194A"/>
    <w:rsid w:val="003B1B84"/>
    <w:rsid w:val="003B1D53"/>
    <w:rsid w:val="003B2738"/>
    <w:rsid w:val="003B2BE6"/>
    <w:rsid w:val="003B2F65"/>
    <w:rsid w:val="003B32D1"/>
    <w:rsid w:val="003B361E"/>
    <w:rsid w:val="003B3977"/>
    <w:rsid w:val="003B3C4A"/>
    <w:rsid w:val="003B3DA2"/>
    <w:rsid w:val="003B4058"/>
    <w:rsid w:val="003B41A3"/>
    <w:rsid w:val="003B41C6"/>
    <w:rsid w:val="003B432A"/>
    <w:rsid w:val="003B46B5"/>
    <w:rsid w:val="003B4706"/>
    <w:rsid w:val="003B4917"/>
    <w:rsid w:val="003B4925"/>
    <w:rsid w:val="003B4F87"/>
    <w:rsid w:val="003B50F7"/>
    <w:rsid w:val="003B5346"/>
    <w:rsid w:val="003B57FE"/>
    <w:rsid w:val="003B5A4E"/>
    <w:rsid w:val="003B6223"/>
    <w:rsid w:val="003B62CD"/>
    <w:rsid w:val="003B64A4"/>
    <w:rsid w:val="003B6572"/>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EFA"/>
    <w:rsid w:val="003C0FE1"/>
    <w:rsid w:val="003C1044"/>
    <w:rsid w:val="003C11C2"/>
    <w:rsid w:val="003C14B1"/>
    <w:rsid w:val="003C15EA"/>
    <w:rsid w:val="003C1E5C"/>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64"/>
    <w:rsid w:val="003D40AE"/>
    <w:rsid w:val="003D4221"/>
    <w:rsid w:val="003D45F8"/>
    <w:rsid w:val="003D485D"/>
    <w:rsid w:val="003D497E"/>
    <w:rsid w:val="003D4BBE"/>
    <w:rsid w:val="003D4C51"/>
    <w:rsid w:val="003D4E63"/>
    <w:rsid w:val="003D4FD8"/>
    <w:rsid w:val="003D5423"/>
    <w:rsid w:val="003D5730"/>
    <w:rsid w:val="003D5735"/>
    <w:rsid w:val="003D58B3"/>
    <w:rsid w:val="003D5B2A"/>
    <w:rsid w:val="003D5B2D"/>
    <w:rsid w:val="003D6067"/>
    <w:rsid w:val="003D6394"/>
    <w:rsid w:val="003D645F"/>
    <w:rsid w:val="003D6591"/>
    <w:rsid w:val="003D6665"/>
    <w:rsid w:val="003D68BB"/>
    <w:rsid w:val="003D6BB1"/>
    <w:rsid w:val="003D6E9F"/>
    <w:rsid w:val="003D71E3"/>
    <w:rsid w:val="003D7269"/>
    <w:rsid w:val="003D7328"/>
    <w:rsid w:val="003D762F"/>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89C"/>
    <w:rsid w:val="003E1C53"/>
    <w:rsid w:val="003E20C7"/>
    <w:rsid w:val="003E20E4"/>
    <w:rsid w:val="003E2551"/>
    <w:rsid w:val="003E334A"/>
    <w:rsid w:val="003E3580"/>
    <w:rsid w:val="003E3B92"/>
    <w:rsid w:val="003E41E1"/>
    <w:rsid w:val="003E466A"/>
    <w:rsid w:val="003E4905"/>
    <w:rsid w:val="003E4B23"/>
    <w:rsid w:val="003E534C"/>
    <w:rsid w:val="003E5385"/>
    <w:rsid w:val="003E56EF"/>
    <w:rsid w:val="003E5948"/>
    <w:rsid w:val="003E5A23"/>
    <w:rsid w:val="003E5C9D"/>
    <w:rsid w:val="003E5D89"/>
    <w:rsid w:val="003E5F4B"/>
    <w:rsid w:val="003E5FF7"/>
    <w:rsid w:val="003E63FD"/>
    <w:rsid w:val="003E6457"/>
    <w:rsid w:val="003E654E"/>
    <w:rsid w:val="003E6676"/>
    <w:rsid w:val="003E6D7D"/>
    <w:rsid w:val="003E6F80"/>
    <w:rsid w:val="003E7030"/>
    <w:rsid w:val="003E7795"/>
    <w:rsid w:val="003E77EB"/>
    <w:rsid w:val="003E79F0"/>
    <w:rsid w:val="003E7E5E"/>
    <w:rsid w:val="003E7FF4"/>
    <w:rsid w:val="003F0062"/>
    <w:rsid w:val="003F01D8"/>
    <w:rsid w:val="003F047C"/>
    <w:rsid w:val="003F0B6D"/>
    <w:rsid w:val="003F0BA5"/>
    <w:rsid w:val="003F0C85"/>
    <w:rsid w:val="003F0FEE"/>
    <w:rsid w:val="003F1327"/>
    <w:rsid w:val="003F137E"/>
    <w:rsid w:val="003F18BD"/>
    <w:rsid w:val="003F1964"/>
    <w:rsid w:val="003F19A9"/>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39"/>
    <w:rsid w:val="003F3CD7"/>
    <w:rsid w:val="003F3F98"/>
    <w:rsid w:val="003F43E2"/>
    <w:rsid w:val="003F4407"/>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1A6"/>
    <w:rsid w:val="003F76BC"/>
    <w:rsid w:val="003F773D"/>
    <w:rsid w:val="003F7B62"/>
    <w:rsid w:val="003F7C01"/>
    <w:rsid w:val="003F7C3A"/>
    <w:rsid w:val="0040036A"/>
    <w:rsid w:val="0040065C"/>
    <w:rsid w:val="00400744"/>
    <w:rsid w:val="004008D5"/>
    <w:rsid w:val="00400C31"/>
    <w:rsid w:val="00400CFB"/>
    <w:rsid w:val="00401116"/>
    <w:rsid w:val="00401356"/>
    <w:rsid w:val="00401756"/>
    <w:rsid w:val="004017A3"/>
    <w:rsid w:val="00401B53"/>
    <w:rsid w:val="0040267E"/>
    <w:rsid w:val="004034C8"/>
    <w:rsid w:val="00403540"/>
    <w:rsid w:val="00403657"/>
    <w:rsid w:val="00403E6E"/>
    <w:rsid w:val="00404B8E"/>
    <w:rsid w:val="00404D63"/>
    <w:rsid w:val="00405020"/>
    <w:rsid w:val="004059D1"/>
    <w:rsid w:val="00405C4D"/>
    <w:rsid w:val="00405E3B"/>
    <w:rsid w:val="00405E94"/>
    <w:rsid w:val="00405FC6"/>
    <w:rsid w:val="004064AC"/>
    <w:rsid w:val="004064E1"/>
    <w:rsid w:val="00406A66"/>
    <w:rsid w:val="00406C82"/>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6CB"/>
    <w:rsid w:val="004129A7"/>
    <w:rsid w:val="00412A5D"/>
    <w:rsid w:val="00412FAD"/>
    <w:rsid w:val="00412FDE"/>
    <w:rsid w:val="00413096"/>
    <w:rsid w:val="0041344F"/>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11C"/>
    <w:rsid w:val="0042035D"/>
    <w:rsid w:val="004209B9"/>
    <w:rsid w:val="00420A58"/>
    <w:rsid w:val="00420BAB"/>
    <w:rsid w:val="00420C43"/>
    <w:rsid w:val="00420F07"/>
    <w:rsid w:val="00421071"/>
    <w:rsid w:val="004213C1"/>
    <w:rsid w:val="004213CE"/>
    <w:rsid w:val="004213DA"/>
    <w:rsid w:val="00421C0A"/>
    <w:rsid w:val="00421F83"/>
    <w:rsid w:val="004223DF"/>
    <w:rsid w:val="00422A68"/>
    <w:rsid w:val="00422D50"/>
    <w:rsid w:val="00423078"/>
    <w:rsid w:val="00423437"/>
    <w:rsid w:val="00423486"/>
    <w:rsid w:val="00423C37"/>
    <w:rsid w:val="00423D1D"/>
    <w:rsid w:val="004240C5"/>
    <w:rsid w:val="0042416C"/>
    <w:rsid w:val="004242F7"/>
    <w:rsid w:val="0042436A"/>
    <w:rsid w:val="00424424"/>
    <w:rsid w:val="0042475E"/>
    <w:rsid w:val="00424AA8"/>
    <w:rsid w:val="00424AB6"/>
    <w:rsid w:val="00424CA6"/>
    <w:rsid w:val="00424D1B"/>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685"/>
    <w:rsid w:val="004279BF"/>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0E8"/>
    <w:rsid w:val="0043216D"/>
    <w:rsid w:val="0043253F"/>
    <w:rsid w:val="0043254F"/>
    <w:rsid w:val="00432AE5"/>
    <w:rsid w:val="00432FD0"/>
    <w:rsid w:val="00433186"/>
    <w:rsid w:val="00433250"/>
    <w:rsid w:val="004334B1"/>
    <w:rsid w:val="004339DA"/>
    <w:rsid w:val="00433A23"/>
    <w:rsid w:val="00433A2C"/>
    <w:rsid w:val="00433B92"/>
    <w:rsid w:val="00433E00"/>
    <w:rsid w:val="00433EA4"/>
    <w:rsid w:val="0043429A"/>
    <w:rsid w:val="00434464"/>
    <w:rsid w:val="004347C7"/>
    <w:rsid w:val="004348BC"/>
    <w:rsid w:val="004348BF"/>
    <w:rsid w:val="00435141"/>
    <w:rsid w:val="00435604"/>
    <w:rsid w:val="00435624"/>
    <w:rsid w:val="004356BB"/>
    <w:rsid w:val="0043579B"/>
    <w:rsid w:val="00435851"/>
    <w:rsid w:val="00435BF4"/>
    <w:rsid w:val="00435FBE"/>
    <w:rsid w:val="004364FB"/>
    <w:rsid w:val="004368BC"/>
    <w:rsid w:val="0043697B"/>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EBF"/>
    <w:rsid w:val="00442F89"/>
    <w:rsid w:val="004432D5"/>
    <w:rsid w:val="00443432"/>
    <w:rsid w:val="00443597"/>
    <w:rsid w:val="00443784"/>
    <w:rsid w:val="0044395C"/>
    <w:rsid w:val="00443B3C"/>
    <w:rsid w:val="00444035"/>
    <w:rsid w:val="00444144"/>
    <w:rsid w:val="00444149"/>
    <w:rsid w:val="0044435E"/>
    <w:rsid w:val="00444467"/>
    <w:rsid w:val="004444F3"/>
    <w:rsid w:val="00444530"/>
    <w:rsid w:val="00444904"/>
    <w:rsid w:val="00444BF2"/>
    <w:rsid w:val="00444D20"/>
    <w:rsid w:val="00444D3E"/>
    <w:rsid w:val="00444F13"/>
    <w:rsid w:val="00444F2C"/>
    <w:rsid w:val="0044501B"/>
    <w:rsid w:val="0044501F"/>
    <w:rsid w:val="00445057"/>
    <w:rsid w:val="004452C0"/>
    <w:rsid w:val="00445479"/>
    <w:rsid w:val="00445776"/>
    <w:rsid w:val="004457C5"/>
    <w:rsid w:val="00445B35"/>
    <w:rsid w:val="0044612C"/>
    <w:rsid w:val="004463B0"/>
    <w:rsid w:val="004467E3"/>
    <w:rsid w:val="00446870"/>
    <w:rsid w:val="00446B26"/>
    <w:rsid w:val="00446B88"/>
    <w:rsid w:val="00446DFA"/>
    <w:rsid w:val="00446EAC"/>
    <w:rsid w:val="0044717B"/>
    <w:rsid w:val="00450175"/>
    <w:rsid w:val="0045021E"/>
    <w:rsid w:val="0045075C"/>
    <w:rsid w:val="004507BE"/>
    <w:rsid w:val="00451476"/>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41B"/>
    <w:rsid w:val="004578EF"/>
    <w:rsid w:val="00457A4F"/>
    <w:rsid w:val="00457C8B"/>
    <w:rsid w:val="004602B6"/>
    <w:rsid w:val="00460855"/>
    <w:rsid w:val="0046087C"/>
    <w:rsid w:val="004608D3"/>
    <w:rsid w:val="00461668"/>
    <w:rsid w:val="00461921"/>
    <w:rsid w:val="00461D85"/>
    <w:rsid w:val="004628E0"/>
    <w:rsid w:val="00462A04"/>
    <w:rsid w:val="00462E45"/>
    <w:rsid w:val="004630AB"/>
    <w:rsid w:val="004635BD"/>
    <w:rsid w:val="00463736"/>
    <w:rsid w:val="00463A16"/>
    <w:rsid w:val="00463AF1"/>
    <w:rsid w:val="004646C3"/>
    <w:rsid w:val="00464717"/>
    <w:rsid w:val="00464757"/>
    <w:rsid w:val="00464B88"/>
    <w:rsid w:val="00464C7A"/>
    <w:rsid w:val="00465373"/>
    <w:rsid w:val="00465C4D"/>
    <w:rsid w:val="00465E4A"/>
    <w:rsid w:val="00465E8A"/>
    <w:rsid w:val="00465FE1"/>
    <w:rsid w:val="0046603F"/>
    <w:rsid w:val="00466268"/>
    <w:rsid w:val="00466693"/>
    <w:rsid w:val="00466809"/>
    <w:rsid w:val="004668DA"/>
    <w:rsid w:val="00466C97"/>
    <w:rsid w:val="004672C0"/>
    <w:rsid w:val="00467438"/>
    <w:rsid w:val="00470099"/>
    <w:rsid w:val="004701D3"/>
    <w:rsid w:val="00470791"/>
    <w:rsid w:val="00470796"/>
    <w:rsid w:val="004708FE"/>
    <w:rsid w:val="00470954"/>
    <w:rsid w:val="004709B8"/>
    <w:rsid w:val="00471059"/>
    <w:rsid w:val="004711CB"/>
    <w:rsid w:val="00471536"/>
    <w:rsid w:val="00471676"/>
    <w:rsid w:val="00471877"/>
    <w:rsid w:val="00471A1B"/>
    <w:rsid w:val="00471A74"/>
    <w:rsid w:val="00471C96"/>
    <w:rsid w:val="00471D06"/>
    <w:rsid w:val="0047206E"/>
    <w:rsid w:val="0047237D"/>
    <w:rsid w:val="004724C4"/>
    <w:rsid w:val="0047272A"/>
    <w:rsid w:val="004728F5"/>
    <w:rsid w:val="00472995"/>
    <w:rsid w:val="00472D2C"/>
    <w:rsid w:val="00473169"/>
    <w:rsid w:val="004732B8"/>
    <w:rsid w:val="00473403"/>
    <w:rsid w:val="004734C1"/>
    <w:rsid w:val="004735E4"/>
    <w:rsid w:val="0047380C"/>
    <w:rsid w:val="00473B1A"/>
    <w:rsid w:val="00474281"/>
    <w:rsid w:val="00474346"/>
    <w:rsid w:val="00474371"/>
    <w:rsid w:val="0047445E"/>
    <w:rsid w:val="00474660"/>
    <w:rsid w:val="00474948"/>
    <w:rsid w:val="00474956"/>
    <w:rsid w:val="00474CDD"/>
    <w:rsid w:val="00474D87"/>
    <w:rsid w:val="004751BC"/>
    <w:rsid w:val="0047528A"/>
    <w:rsid w:val="004752E5"/>
    <w:rsid w:val="00475349"/>
    <w:rsid w:val="0047534C"/>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235"/>
    <w:rsid w:val="00480418"/>
    <w:rsid w:val="004804F9"/>
    <w:rsid w:val="0048053B"/>
    <w:rsid w:val="00480A2A"/>
    <w:rsid w:val="00480BFA"/>
    <w:rsid w:val="00480C41"/>
    <w:rsid w:val="00480DD5"/>
    <w:rsid w:val="00481338"/>
    <w:rsid w:val="0048152B"/>
    <w:rsid w:val="00481873"/>
    <w:rsid w:val="00481BF0"/>
    <w:rsid w:val="00481D96"/>
    <w:rsid w:val="00481F91"/>
    <w:rsid w:val="00481FB9"/>
    <w:rsid w:val="004820AC"/>
    <w:rsid w:val="004824C9"/>
    <w:rsid w:val="004824DE"/>
    <w:rsid w:val="004825FF"/>
    <w:rsid w:val="004826F0"/>
    <w:rsid w:val="00482773"/>
    <w:rsid w:val="00482AA0"/>
    <w:rsid w:val="00482D0D"/>
    <w:rsid w:val="00483752"/>
    <w:rsid w:val="004837A8"/>
    <w:rsid w:val="004838D3"/>
    <w:rsid w:val="0048399C"/>
    <w:rsid w:val="00483CBD"/>
    <w:rsid w:val="00483F67"/>
    <w:rsid w:val="0048415B"/>
    <w:rsid w:val="00484197"/>
    <w:rsid w:val="00484DEC"/>
    <w:rsid w:val="00484F97"/>
    <w:rsid w:val="00485507"/>
    <w:rsid w:val="00485A87"/>
    <w:rsid w:val="00485BCF"/>
    <w:rsid w:val="00485E36"/>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1FF7"/>
    <w:rsid w:val="00492649"/>
    <w:rsid w:val="004927F0"/>
    <w:rsid w:val="00492989"/>
    <w:rsid w:val="00492A18"/>
    <w:rsid w:val="00492A8E"/>
    <w:rsid w:val="00492DC9"/>
    <w:rsid w:val="0049307B"/>
    <w:rsid w:val="00493133"/>
    <w:rsid w:val="0049350A"/>
    <w:rsid w:val="00493624"/>
    <w:rsid w:val="00493870"/>
    <w:rsid w:val="00493B45"/>
    <w:rsid w:val="00493D3F"/>
    <w:rsid w:val="00494422"/>
    <w:rsid w:val="004945E1"/>
    <w:rsid w:val="0049485B"/>
    <w:rsid w:val="00494987"/>
    <w:rsid w:val="004949BB"/>
    <w:rsid w:val="00494BFE"/>
    <w:rsid w:val="00494F8B"/>
    <w:rsid w:val="004952B2"/>
    <w:rsid w:val="004953C2"/>
    <w:rsid w:val="0049548E"/>
    <w:rsid w:val="004957D3"/>
    <w:rsid w:val="00495934"/>
    <w:rsid w:val="00495976"/>
    <w:rsid w:val="004959F4"/>
    <w:rsid w:val="00495B41"/>
    <w:rsid w:val="00495C56"/>
    <w:rsid w:val="00495D17"/>
    <w:rsid w:val="00496313"/>
    <w:rsid w:val="004963DF"/>
    <w:rsid w:val="004969CE"/>
    <w:rsid w:val="00496B81"/>
    <w:rsid w:val="00496C27"/>
    <w:rsid w:val="00496D75"/>
    <w:rsid w:val="00496E53"/>
    <w:rsid w:val="0049733D"/>
    <w:rsid w:val="0049759D"/>
    <w:rsid w:val="00497750"/>
    <w:rsid w:val="0049776D"/>
    <w:rsid w:val="00497B8C"/>
    <w:rsid w:val="00497BFD"/>
    <w:rsid w:val="004A0233"/>
    <w:rsid w:val="004A0D00"/>
    <w:rsid w:val="004A10FE"/>
    <w:rsid w:val="004A12C4"/>
    <w:rsid w:val="004A150D"/>
    <w:rsid w:val="004A1629"/>
    <w:rsid w:val="004A1AF7"/>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876"/>
    <w:rsid w:val="004A49D0"/>
    <w:rsid w:val="004A4C27"/>
    <w:rsid w:val="004A4E75"/>
    <w:rsid w:val="004A5031"/>
    <w:rsid w:val="004A50BC"/>
    <w:rsid w:val="004A522C"/>
    <w:rsid w:val="004A5340"/>
    <w:rsid w:val="004A5363"/>
    <w:rsid w:val="004A5760"/>
    <w:rsid w:val="004A5EBD"/>
    <w:rsid w:val="004A6580"/>
    <w:rsid w:val="004A65CD"/>
    <w:rsid w:val="004A697A"/>
    <w:rsid w:val="004A6C76"/>
    <w:rsid w:val="004A6CFD"/>
    <w:rsid w:val="004A6D86"/>
    <w:rsid w:val="004A736A"/>
    <w:rsid w:val="004A7AC7"/>
    <w:rsid w:val="004A7CBD"/>
    <w:rsid w:val="004A7DCA"/>
    <w:rsid w:val="004B017C"/>
    <w:rsid w:val="004B053F"/>
    <w:rsid w:val="004B0B92"/>
    <w:rsid w:val="004B0E42"/>
    <w:rsid w:val="004B0F94"/>
    <w:rsid w:val="004B13FE"/>
    <w:rsid w:val="004B15C9"/>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D09"/>
    <w:rsid w:val="004B54C1"/>
    <w:rsid w:val="004B57D4"/>
    <w:rsid w:val="004B5B0A"/>
    <w:rsid w:val="004B5B10"/>
    <w:rsid w:val="004B5D95"/>
    <w:rsid w:val="004B5F2C"/>
    <w:rsid w:val="004B62B4"/>
    <w:rsid w:val="004B6516"/>
    <w:rsid w:val="004B65DA"/>
    <w:rsid w:val="004B6B82"/>
    <w:rsid w:val="004B6D39"/>
    <w:rsid w:val="004B72E5"/>
    <w:rsid w:val="004B733E"/>
    <w:rsid w:val="004B7399"/>
    <w:rsid w:val="004B74BF"/>
    <w:rsid w:val="004B7AC0"/>
    <w:rsid w:val="004B7CBD"/>
    <w:rsid w:val="004C0000"/>
    <w:rsid w:val="004C002F"/>
    <w:rsid w:val="004C015A"/>
    <w:rsid w:val="004C01F6"/>
    <w:rsid w:val="004C036D"/>
    <w:rsid w:val="004C066C"/>
    <w:rsid w:val="004C0725"/>
    <w:rsid w:val="004C0A9B"/>
    <w:rsid w:val="004C1884"/>
    <w:rsid w:val="004C197F"/>
    <w:rsid w:val="004C1A60"/>
    <w:rsid w:val="004C1EA6"/>
    <w:rsid w:val="004C21B8"/>
    <w:rsid w:val="004C2553"/>
    <w:rsid w:val="004C2A69"/>
    <w:rsid w:val="004C2D16"/>
    <w:rsid w:val="004C2D30"/>
    <w:rsid w:val="004C3004"/>
    <w:rsid w:val="004C31F3"/>
    <w:rsid w:val="004C32EB"/>
    <w:rsid w:val="004C33F3"/>
    <w:rsid w:val="004C35DF"/>
    <w:rsid w:val="004C3C89"/>
    <w:rsid w:val="004C3E5F"/>
    <w:rsid w:val="004C3E8D"/>
    <w:rsid w:val="004C3EFA"/>
    <w:rsid w:val="004C40CC"/>
    <w:rsid w:val="004C438D"/>
    <w:rsid w:val="004C4629"/>
    <w:rsid w:val="004C4907"/>
    <w:rsid w:val="004C4A58"/>
    <w:rsid w:val="004C4EA2"/>
    <w:rsid w:val="004C4F57"/>
    <w:rsid w:val="004C5163"/>
    <w:rsid w:val="004C52D2"/>
    <w:rsid w:val="004C54C0"/>
    <w:rsid w:val="004C54D3"/>
    <w:rsid w:val="004C54EF"/>
    <w:rsid w:val="004C55A1"/>
    <w:rsid w:val="004C55AA"/>
    <w:rsid w:val="004C624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C46"/>
    <w:rsid w:val="004D101D"/>
    <w:rsid w:val="004D10F7"/>
    <w:rsid w:val="004D110B"/>
    <w:rsid w:val="004D1346"/>
    <w:rsid w:val="004D13DE"/>
    <w:rsid w:val="004D169E"/>
    <w:rsid w:val="004D1800"/>
    <w:rsid w:val="004D18C8"/>
    <w:rsid w:val="004D1A15"/>
    <w:rsid w:val="004D1C89"/>
    <w:rsid w:val="004D1D7A"/>
    <w:rsid w:val="004D1DB0"/>
    <w:rsid w:val="004D1F61"/>
    <w:rsid w:val="004D23F8"/>
    <w:rsid w:val="004D2752"/>
    <w:rsid w:val="004D282B"/>
    <w:rsid w:val="004D2ECC"/>
    <w:rsid w:val="004D2FA0"/>
    <w:rsid w:val="004D32F3"/>
    <w:rsid w:val="004D3348"/>
    <w:rsid w:val="004D34A3"/>
    <w:rsid w:val="004D34B0"/>
    <w:rsid w:val="004D34E3"/>
    <w:rsid w:val="004D3B93"/>
    <w:rsid w:val="004D3C3E"/>
    <w:rsid w:val="004D4077"/>
    <w:rsid w:val="004D408B"/>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338"/>
    <w:rsid w:val="004E082E"/>
    <w:rsid w:val="004E0B51"/>
    <w:rsid w:val="004E0FBE"/>
    <w:rsid w:val="004E0FF1"/>
    <w:rsid w:val="004E115A"/>
    <w:rsid w:val="004E124A"/>
    <w:rsid w:val="004E13A2"/>
    <w:rsid w:val="004E159B"/>
    <w:rsid w:val="004E1CC3"/>
    <w:rsid w:val="004E2010"/>
    <w:rsid w:val="004E21C6"/>
    <w:rsid w:val="004E2306"/>
    <w:rsid w:val="004E2315"/>
    <w:rsid w:val="004E2474"/>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78C"/>
    <w:rsid w:val="004E4845"/>
    <w:rsid w:val="004E4DAD"/>
    <w:rsid w:val="004E5199"/>
    <w:rsid w:val="004E546A"/>
    <w:rsid w:val="004E557F"/>
    <w:rsid w:val="004E5654"/>
    <w:rsid w:val="004E5851"/>
    <w:rsid w:val="004E5F07"/>
    <w:rsid w:val="004E5F7B"/>
    <w:rsid w:val="004E6072"/>
    <w:rsid w:val="004E6117"/>
    <w:rsid w:val="004E65CA"/>
    <w:rsid w:val="004E6648"/>
    <w:rsid w:val="004E6836"/>
    <w:rsid w:val="004E68DC"/>
    <w:rsid w:val="004E6999"/>
    <w:rsid w:val="004E6C49"/>
    <w:rsid w:val="004E6C55"/>
    <w:rsid w:val="004E7364"/>
    <w:rsid w:val="004E767E"/>
    <w:rsid w:val="004E7752"/>
    <w:rsid w:val="004E7A5B"/>
    <w:rsid w:val="004E7B7C"/>
    <w:rsid w:val="004E7CB4"/>
    <w:rsid w:val="004E7CFE"/>
    <w:rsid w:val="004E7FB7"/>
    <w:rsid w:val="004F02A0"/>
    <w:rsid w:val="004F02CD"/>
    <w:rsid w:val="004F0439"/>
    <w:rsid w:val="004F0564"/>
    <w:rsid w:val="004F0573"/>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592B"/>
    <w:rsid w:val="004F5F62"/>
    <w:rsid w:val="004F6078"/>
    <w:rsid w:val="004F6759"/>
    <w:rsid w:val="004F6774"/>
    <w:rsid w:val="004F6A77"/>
    <w:rsid w:val="004F6AAD"/>
    <w:rsid w:val="004F6B57"/>
    <w:rsid w:val="004F6D1D"/>
    <w:rsid w:val="004F72D8"/>
    <w:rsid w:val="004F7427"/>
    <w:rsid w:val="004F753A"/>
    <w:rsid w:val="004F7635"/>
    <w:rsid w:val="004F77F3"/>
    <w:rsid w:val="004F7919"/>
    <w:rsid w:val="004F7E83"/>
    <w:rsid w:val="004F7E8E"/>
    <w:rsid w:val="004F7FB4"/>
    <w:rsid w:val="00500A37"/>
    <w:rsid w:val="00500AE5"/>
    <w:rsid w:val="0050169A"/>
    <w:rsid w:val="00501E9B"/>
    <w:rsid w:val="00501EB2"/>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5155"/>
    <w:rsid w:val="005052C6"/>
    <w:rsid w:val="00505813"/>
    <w:rsid w:val="00505BB2"/>
    <w:rsid w:val="00505C72"/>
    <w:rsid w:val="005060AE"/>
    <w:rsid w:val="005061E4"/>
    <w:rsid w:val="00506506"/>
    <w:rsid w:val="005067E9"/>
    <w:rsid w:val="00506E8A"/>
    <w:rsid w:val="00506F47"/>
    <w:rsid w:val="00506F90"/>
    <w:rsid w:val="00507252"/>
    <w:rsid w:val="0050738A"/>
    <w:rsid w:val="005074C0"/>
    <w:rsid w:val="00507560"/>
    <w:rsid w:val="005076E8"/>
    <w:rsid w:val="005077D2"/>
    <w:rsid w:val="005079D8"/>
    <w:rsid w:val="00507A84"/>
    <w:rsid w:val="00507FF4"/>
    <w:rsid w:val="0051003E"/>
    <w:rsid w:val="0051009A"/>
    <w:rsid w:val="00510173"/>
    <w:rsid w:val="005101F5"/>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B2"/>
    <w:rsid w:val="005126E3"/>
    <w:rsid w:val="00512995"/>
    <w:rsid w:val="00512E1C"/>
    <w:rsid w:val="00512F4D"/>
    <w:rsid w:val="00513033"/>
    <w:rsid w:val="0051309B"/>
    <w:rsid w:val="005133E5"/>
    <w:rsid w:val="005135EC"/>
    <w:rsid w:val="005135F6"/>
    <w:rsid w:val="0051398C"/>
    <w:rsid w:val="00513A34"/>
    <w:rsid w:val="00513A87"/>
    <w:rsid w:val="00513AD0"/>
    <w:rsid w:val="00513C97"/>
    <w:rsid w:val="00514030"/>
    <w:rsid w:val="005142C4"/>
    <w:rsid w:val="00514764"/>
    <w:rsid w:val="00514AA0"/>
    <w:rsid w:val="00514AA2"/>
    <w:rsid w:val="00514AA4"/>
    <w:rsid w:val="00514E03"/>
    <w:rsid w:val="00515000"/>
    <w:rsid w:val="00515181"/>
    <w:rsid w:val="005151A4"/>
    <w:rsid w:val="0051523B"/>
    <w:rsid w:val="00515929"/>
    <w:rsid w:val="00515AE4"/>
    <w:rsid w:val="00515E57"/>
    <w:rsid w:val="005160CF"/>
    <w:rsid w:val="0051625B"/>
    <w:rsid w:val="0051641C"/>
    <w:rsid w:val="0051645C"/>
    <w:rsid w:val="00516499"/>
    <w:rsid w:val="0051659B"/>
    <w:rsid w:val="0051673F"/>
    <w:rsid w:val="005169D4"/>
    <w:rsid w:val="00517393"/>
    <w:rsid w:val="00517B56"/>
    <w:rsid w:val="00517D6C"/>
    <w:rsid w:val="00517FD2"/>
    <w:rsid w:val="00520063"/>
    <w:rsid w:val="00520105"/>
    <w:rsid w:val="00520273"/>
    <w:rsid w:val="005204AB"/>
    <w:rsid w:val="00520A75"/>
    <w:rsid w:val="00520B5F"/>
    <w:rsid w:val="00520D66"/>
    <w:rsid w:val="005212D8"/>
    <w:rsid w:val="0052132A"/>
    <w:rsid w:val="00521341"/>
    <w:rsid w:val="00521650"/>
    <w:rsid w:val="0052175E"/>
    <w:rsid w:val="005218CE"/>
    <w:rsid w:val="00521D93"/>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B16"/>
    <w:rsid w:val="00526DD2"/>
    <w:rsid w:val="00526F17"/>
    <w:rsid w:val="00526FD4"/>
    <w:rsid w:val="005270AA"/>
    <w:rsid w:val="0052721C"/>
    <w:rsid w:val="005272FF"/>
    <w:rsid w:val="00527577"/>
    <w:rsid w:val="0052758B"/>
    <w:rsid w:val="00527D8B"/>
    <w:rsid w:val="00527F4E"/>
    <w:rsid w:val="00527FFB"/>
    <w:rsid w:val="00530658"/>
    <w:rsid w:val="005307F4"/>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438"/>
    <w:rsid w:val="00533547"/>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BBC"/>
    <w:rsid w:val="00540C91"/>
    <w:rsid w:val="00540EDF"/>
    <w:rsid w:val="00540FF9"/>
    <w:rsid w:val="0054108D"/>
    <w:rsid w:val="005413A6"/>
    <w:rsid w:val="00541419"/>
    <w:rsid w:val="005417DF"/>
    <w:rsid w:val="00542117"/>
    <w:rsid w:val="00542328"/>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BC2"/>
    <w:rsid w:val="00552D8C"/>
    <w:rsid w:val="00552ED1"/>
    <w:rsid w:val="0055319F"/>
    <w:rsid w:val="005532DF"/>
    <w:rsid w:val="005537E1"/>
    <w:rsid w:val="00553917"/>
    <w:rsid w:val="00553B8A"/>
    <w:rsid w:val="0055477E"/>
    <w:rsid w:val="00554909"/>
    <w:rsid w:val="00554C08"/>
    <w:rsid w:val="00554E04"/>
    <w:rsid w:val="00554E32"/>
    <w:rsid w:val="00555230"/>
    <w:rsid w:val="00555520"/>
    <w:rsid w:val="005555C9"/>
    <w:rsid w:val="005558BA"/>
    <w:rsid w:val="0055594B"/>
    <w:rsid w:val="00555A18"/>
    <w:rsid w:val="00555AAD"/>
    <w:rsid w:val="00555D91"/>
    <w:rsid w:val="00555DF8"/>
    <w:rsid w:val="00555EDF"/>
    <w:rsid w:val="005561B1"/>
    <w:rsid w:val="00556354"/>
    <w:rsid w:val="005569B9"/>
    <w:rsid w:val="00556E77"/>
    <w:rsid w:val="00556FD9"/>
    <w:rsid w:val="005570C2"/>
    <w:rsid w:val="005578B5"/>
    <w:rsid w:val="00557929"/>
    <w:rsid w:val="00557A43"/>
    <w:rsid w:val="00557B1A"/>
    <w:rsid w:val="00557D60"/>
    <w:rsid w:val="00560099"/>
    <w:rsid w:val="00560153"/>
    <w:rsid w:val="00560228"/>
    <w:rsid w:val="00560352"/>
    <w:rsid w:val="005606E9"/>
    <w:rsid w:val="0056088B"/>
    <w:rsid w:val="00560ED9"/>
    <w:rsid w:val="0056110C"/>
    <w:rsid w:val="005611BD"/>
    <w:rsid w:val="0056138E"/>
    <w:rsid w:val="0056141C"/>
    <w:rsid w:val="00561AD9"/>
    <w:rsid w:val="005620D3"/>
    <w:rsid w:val="00562157"/>
    <w:rsid w:val="005622E5"/>
    <w:rsid w:val="00562326"/>
    <w:rsid w:val="0056251F"/>
    <w:rsid w:val="0056254F"/>
    <w:rsid w:val="00562C30"/>
    <w:rsid w:val="00562ED5"/>
    <w:rsid w:val="0056301D"/>
    <w:rsid w:val="005630CF"/>
    <w:rsid w:val="00563C1A"/>
    <w:rsid w:val="00563D16"/>
    <w:rsid w:val="00564204"/>
    <w:rsid w:val="0056487E"/>
    <w:rsid w:val="00564A33"/>
    <w:rsid w:val="00564C58"/>
    <w:rsid w:val="00565134"/>
    <w:rsid w:val="0056580C"/>
    <w:rsid w:val="00565A90"/>
    <w:rsid w:val="00565BF3"/>
    <w:rsid w:val="005661C1"/>
    <w:rsid w:val="00566422"/>
    <w:rsid w:val="00566870"/>
    <w:rsid w:val="00566D6D"/>
    <w:rsid w:val="0056742B"/>
    <w:rsid w:val="005676E3"/>
    <w:rsid w:val="00567B60"/>
    <w:rsid w:val="00567BA3"/>
    <w:rsid w:val="00567C5B"/>
    <w:rsid w:val="005700FB"/>
    <w:rsid w:val="005704F4"/>
    <w:rsid w:val="0057055F"/>
    <w:rsid w:val="00570736"/>
    <w:rsid w:val="005708CE"/>
    <w:rsid w:val="00570B78"/>
    <w:rsid w:val="00571150"/>
    <w:rsid w:val="005712F8"/>
    <w:rsid w:val="005715A0"/>
    <w:rsid w:val="00571661"/>
    <w:rsid w:val="00571930"/>
    <w:rsid w:val="005719E1"/>
    <w:rsid w:val="0057209C"/>
    <w:rsid w:val="0057258D"/>
    <w:rsid w:val="005725EA"/>
    <w:rsid w:val="005726A3"/>
    <w:rsid w:val="0057288F"/>
    <w:rsid w:val="00572AA3"/>
    <w:rsid w:val="00572DE1"/>
    <w:rsid w:val="005736D7"/>
    <w:rsid w:val="005736E0"/>
    <w:rsid w:val="00573973"/>
    <w:rsid w:val="00573D45"/>
    <w:rsid w:val="00574007"/>
    <w:rsid w:val="0057405B"/>
    <w:rsid w:val="0057465B"/>
    <w:rsid w:val="00574955"/>
    <w:rsid w:val="00574ADF"/>
    <w:rsid w:val="00574BD1"/>
    <w:rsid w:val="00574D87"/>
    <w:rsid w:val="00575262"/>
    <w:rsid w:val="00575674"/>
    <w:rsid w:val="005757CC"/>
    <w:rsid w:val="005758EB"/>
    <w:rsid w:val="00575C56"/>
    <w:rsid w:val="00575D1F"/>
    <w:rsid w:val="005766EC"/>
    <w:rsid w:val="005767D9"/>
    <w:rsid w:val="005769A9"/>
    <w:rsid w:val="00577146"/>
    <w:rsid w:val="0057715D"/>
    <w:rsid w:val="0057719C"/>
    <w:rsid w:val="0057719F"/>
    <w:rsid w:val="005773A0"/>
    <w:rsid w:val="0057741A"/>
    <w:rsid w:val="0057765B"/>
    <w:rsid w:val="0058003C"/>
    <w:rsid w:val="00580088"/>
    <w:rsid w:val="005800F8"/>
    <w:rsid w:val="005801AA"/>
    <w:rsid w:val="0058026D"/>
    <w:rsid w:val="00580A07"/>
    <w:rsid w:val="0058107E"/>
    <w:rsid w:val="0058156A"/>
    <w:rsid w:val="00581639"/>
    <w:rsid w:val="00581674"/>
    <w:rsid w:val="00581789"/>
    <w:rsid w:val="00581846"/>
    <w:rsid w:val="00581869"/>
    <w:rsid w:val="00581BD2"/>
    <w:rsid w:val="00581CE0"/>
    <w:rsid w:val="00581E0B"/>
    <w:rsid w:val="00581FAE"/>
    <w:rsid w:val="00582002"/>
    <w:rsid w:val="00582159"/>
    <w:rsid w:val="005829CD"/>
    <w:rsid w:val="00582ADE"/>
    <w:rsid w:val="005831EB"/>
    <w:rsid w:val="00583689"/>
    <w:rsid w:val="00583888"/>
    <w:rsid w:val="00583957"/>
    <w:rsid w:val="00583C58"/>
    <w:rsid w:val="00583CF7"/>
    <w:rsid w:val="00584050"/>
    <w:rsid w:val="005843D8"/>
    <w:rsid w:val="0058465B"/>
    <w:rsid w:val="00584CF3"/>
    <w:rsid w:val="0058501F"/>
    <w:rsid w:val="00585525"/>
    <w:rsid w:val="00585538"/>
    <w:rsid w:val="0058553D"/>
    <w:rsid w:val="0058570E"/>
    <w:rsid w:val="00585848"/>
    <w:rsid w:val="00585CB6"/>
    <w:rsid w:val="00585E0E"/>
    <w:rsid w:val="005860CF"/>
    <w:rsid w:val="0058618F"/>
    <w:rsid w:val="005861E2"/>
    <w:rsid w:val="00586455"/>
    <w:rsid w:val="0058673C"/>
    <w:rsid w:val="00586A32"/>
    <w:rsid w:val="00586BFA"/>
    <w:rsid w:val="00586D72"/>
    <w:rsid w:val="005871D7"/>
    <w:rsid w:val="005873F3"/>
    <w:rsid w:val="005877F8"/>
    <w:rsid w:val="00587F9E"/>
    <w:rsid w:val="00590CA8"/>
    <w:rsid w:val="00590E36"/>
    <w:rsid w:val="00590F2D"/>
    <w:rsid w:val="00590F71"/>
    <w:rsid w:val="005917F5"/>
    <w:rsid w:val="00592454"/>
    <w:rsid w:val="00592518"/>
    <w:rsid w:val="00592632"/>
    <w:rsid w:val="00592A1C"/>
    <w:rsid w:val="00592A3C"/>
    <w:rsid w:val="0059336F"/>
    <w:rsid w:val="005933B5"/>
    <w:rsid w:val="00593540"/>
    <w:rsid w:val="0059362D"/>
    <w:rsid w:val="005936C4"/>
    <w:rsid w:val="005939D1"/>
    <w:rsid w:val="00593A94"/>
    <w:rsid w:val="00593DCE"/>
    <w:rsid w:val="00594149"/>
    <w:rsid w:val="0059427A"/>
    <w:rsid w:val="00594731"/>
    <w:rsid w:val="00594839"/>
    <w:rsid w:val="0059489F"/>
    <w:rsid w:val="00594980"/>
    <w:rsid w:val="00594A39"/>
    <w:rsid w:val="00594ADC"/>
    <w:rsid w:val="00594DBE"/>
    <w:rsid w:val="00594DFF"/>
    <w:rsid w:val="00595966"/>
    <w:rsid w:val="00595B1F"/>
    <w:rsid w:val="00595BCD"/>
    <w:rsid w:val="00595F55"/>
    <w:rsid w:val="0059604B"/>
    <w:rsid w:val="00596A06"/>
    <w:rsid w:val="00596B73"/>
    <w:rsid w:val="00596DF4"/>
    <w:rsid w:val="00597208"/>
    <w:rsid w:val="00597280"/>
    <w:rsid w:val="00597461"/>
    <w:rsid w:val="005974EF"/>
    <w:rsid w:val="00597C10"/>
    <w:rsid w:val="00597C91"/>
    <w:rsid w:val="00597ED0"/>
    <w:rsid w:val="00597FBC"/>
    <w:rsid w:val="005A004D"/>
    <w:rsid w:val="005A00C7"/>
    <w:rsid w:val="005A044B"/>
    <w:rsid w:val="005A0588"/>
    <w:rsid w:val="005A0690"/>
    <w:rsid w:val="005A0825"/>
    <w:rsid w:val="005A0864"/>
    <w:rsid w:val="005A11AC"/>
    <w:rsid w:val="005A129A"/>
    <w:rsid w:val="005A12E0"/>
    <w:rsid w:val="005A17B8"/>
    <w:rsid w:val="005A1ACE"/>
    <w:rsid w:val="005A1AFB"/>
    <w:rsid w:val="005A1C35"/>
    <w:rsid w:val="005A236C"/>
    <w:rsid w:val="005A239F"/>
    <w:rsid w:val="005A2430"/>
    <w:rsid w:val="005A25DC"/>
    <w:rsid w:val="005A27F0"/>
    <w:rsid w:val="005A2810"/>
    <w:rsid w:val="005A2829"/>
    <w:rsid w:val="005A292E"/>
    <w:rsid w:val="005A2C5F"/>
    <w:rsid w:val="005A34F5"/>
    <w:rsid w:val="005A3C75"/>
    <w:rsid w:val="005A4223"/>
    <w:rsid w:val="005A452B"/>
    <w:rsid w:val="005A4728"/>
    <w:rsid w:val="005A47DF"/>
    <w:rsid w:val="005A4A75"/>
    <w:rsid w:val="005A4C9B"/>
    <w:rsid w:val="005A5264"/>
    <w:rsid w:val="005A606D"/>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739"/>
    <w:rsid w:val="005B0828"/>
    <w:rsid w:val="005B0EC3"/>
    <w:rsid w:val="005B0ECF"/>
    <w:rsid w:val="005B0ED7"/>
    <w:rsid w:val="005B12C8"/>
    <w:rsid w:val="005B167E"/>
    <w:rsid w:val="005B18D8"/>
    <w:rsid w:val="005B1AA8"/>
    <w:rsid w:val="005B1B1A"/>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3FB9"/>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C6"/>
    <w:rsid w:val="005B6C19"/>
    <w:rsid w:val="005B6C5A"/>
    <w:rsid w:val="005B77EB"/>
    <w:rsid w:val="005B77F0"/>
    <w:rsid w:val="005B787B"/>
    <w:rsid w:val="005C03A9"/>
    <w:rsid w:val="005C0406"/>
    <w:rsid w:val="005C065E"/>
    <w:rsid w:val="005C0ABC"/>
    <w:rsid w:val="005C0DA9"/>
    <w:rsid w:val="005C10C3"/>
    <w:rsid w:val="005C1414"/>
    <w:rsid w:val="005C14E3"/>
    <w:rsid w:val="005C15AB"/>
    <w:rsid w:val="005C176B"/>
    <w:rsid w:val="005C1F21"/>
    <w:rsid w:val="005C1F81"/>
    <w:rsid w:val="005C259C"/>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F0E"/>
    <w:rsid w:val="005D025D"/>
    <w:rsid w:val="005D0571"/>
    <w:rsid w:val="005D05AE"/>
    <w:rsid w:val="005D0AB9"/>
    <w:rsid w:val="005D0D1A"/>
    <w:rsid w:val="005D0F2E"/>
    <w:rsid w:val="005D1075"/>
    <w:rsid w:val="005D10DA"/>
    <w:rsid w:val="005D123F"/>
    <w:rsid w:val="005D13A0"/>
    <w:rsid w:val="005D18B0"/>
    <w:rsid w:val="005D1D35"/>
    <w:rsid w:val="005D1D83"/>
    <w:rsid w:val="005D21FE"/>
    <w:rsid w:val="005D26B8"/>
    <w:rsid w:val="005D2E7F"/>
    <w:rsid w:val="005D3067"/>
    <w:rsid w:val="005D345E"/>
    <w:rsid w:val="005D3559"/>
    <w:rsid w:val="005D365E"/>
    <w:rsid w:val="005D37D0"/>
    <w:rsid w:val="005D399E"/>
    <w:rsid w:val="005D41C6"/>
    <w:rsid w:val="005D4773"/>
    <w:rsid w:val="005D47AB"/>
    <w:rsid w:val="005D4BA3"/>
    <w:rsid w:val="005D4BE7"/>
    <w:rsid w:val="005D4D55"/>
    <w:rsid w:val="005D50F4"/>
    <w:rsid w:val="005D535D"/>
    <w:rsid w:val="005D53FE"/>
    <w:rsid w:val="005D55D8"/>
    <w:rsid w:val="005D588C"/>
    <w:rsid w:val="005D5AE8"/>
    <w:rsid w:val="005D5DD0"/>
    <w:rsid w:val="005D61CF"/>
    <w:rsid w:val="005D64D0"/>
    <w:rsid w:val="005D65C0"/>
    <w:rsid w:val="005D6647"/>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928"/>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5FB"/>
    <w:rsid w:val="005E2C4E"/>
    <w:rsid w:val="005E2F66"/>
    <w:rsid w:val="005E2FB4"/>
    <w:rsid w:val="005E319B"/>
    <w:rsid w:val="005E39C3"/>
    <w:rsid w:val="005E454B"/>
    <w:rsid w:val="005E4570"/>
    <w:rsid w:val="005E494D"/>
    <w:rsid w:val="005E515A"/>
    <w:rsid w:val="005E5277"/>
    <w:rsid w:val="005E531F"/>
    <w:rsid w:val="005E5380"/>
    <w:rsid w:val="005E54B5"/>
    <w:rsid w:val="005E555E"/>
    <w:rsid w:val="005E57A7"/>
    <w:rsid w:val="005E5B43"/>
    <w:rsid w:val="005E5B96"/>
    <w:rsid w:val="005E63C9"/>
    <w:rsid w:val="005E693D"/>
    <w:rsid w:val="005E6C9A"/>
    <w:rsid w:val="005E6E34"/>
    <w:rsid w:val="005E71B2"/>
    <w:rsid w:val="005E7267"/>
    <w:rsid w:val="005E72C3"/>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30D7"/>
    <w:rsid w:val="006032E4"/>
    <w:rsid w:val="00603475"/>
    <w:rsid w:val="00603932"/>
    <w:rsid w:val="00603937"/>
    <w:rsid w:val="00603AC8"/>
    <w:rsid w:val="00603BC9"/>
    <w:rsid w:val="00603D72"/>
    <w:rsid w:val="0060414C"/>
    <w:rsid w:val="00604193"/>
    <w:rsid w:val="00604377"/>
    <w:rsid w:val="006044A9"/>
    <w:rsid w:val="006044C3"/>
    <w:rsid w:val="006046C5"/>
    <w:rsid w:val="0060473B"/>
    <w:rsid w:val="00604B8F"/>
    <w:rsid w:val="00604BE2"/>
    <w:rsid w:val="00605298"/>
    <w:rsid w:val="006054AD"/>
    <w:rsid w:val="00605718"/>
    <w:rsid w:val="00605AB0"/>
    <w:rsid w:val="00605B25"/>
    <w:rsid w:val="006060CA"/>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D24"/>
    <w:rsid w:val="00614D4E"/>
    <w:rsid w:val="006152D7"/>
    <w:rsid w:val="00615501"/>
    <w:rsid w:val="006157AC"/>
    <w:rsid w:val="00615803"/>
    <w:rsid w:val="006158A2"/>
    <w:rsid w:val="00615CF4"/>
    <w:rsid w:val="00615D13"/>
    <w:rsid w:val="00615E33"/>
    <w:rsid w:val="00615E37"/>
    <w:rsid w:val="00616B09"/>
    <w:rsid w:val="00616B2B"/>
    <w:rsid w:val="00616C29"/>
    <w:rsid w:val="00616D47"/>
    <w:rsid w:val="00616DAC"/>
    <w:rsid w:val="00616F25"/>
    <w:rsid w:val="00616F57"/>
    <w:rsid w:val="00617327"/>
    <w:rsid w:val="006178C6"/>
    <w:rsid w:val="006179A5"/>
    <w:rsid w:val="00617EE0"/>
    <w:rsid w:val="006201F3"/>
    <w:rsid w:val="006203EC"/>
    <w:rsid w:val="00620867"/>
    <w:rsid w:val="00620A1C"/>
    <w:rsid w:val="00620A2B"/>
    <w:rsid w:val="00620B76"/>
    <w:rsid w:val="00620DEB"/>
    <w:rsid w:val="00620EA7"/>
    <w:rsid w:val="0062175A"/>
    <w:rsid w:val="006219B3"/>
    <w:rsid w:val="00621D05"/>
    <w:rsid w:val="006222F2"/>
    <w:rsid w:val="006224BC"/>
    <w:rsid w:val="00622718"/>
    <w:rsid w:val="00622815"/>
    <w:rsid w:val="006234BC"/>
    <w:rsid w:val="00623670"/>
    <w:rsid w:val="006238AF"/>
    <w:rsid w:val="00623AA3"/>
    <w:rsid w:val="00624404"/>
    <w:rsid w:val="00624471"/>
    <w:rsid w:val="00624511"/>
    <w:rsid w:val="006247BD"/>
    <w:rsid w:val="006248A6"/>
    <w:rsid w:val="00624A5C"/>
    <w:rsid w:val="00624A9B"/>
    <w:rsid w:val="00624BC7"/>
    <w:rsid w:val="00624D92"/>
    <w:rsid w:val="00624D9B"/>
    <w:rsid w:val="00624E2A"/>
    <w:rsid w:val="00624F89"/>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C4A"/>
    <w:rsid w:val="00626E43"/>
    <w:rsid w:val="006273B9"/>
    <w:rsid w:val="0062751F"/>
    <w:rsid w:val="006279CA"/>
    <w:rsid w:val="006301C9"/>
    <w:rsid w:val="00630372"/>
    <w:rsid w:val="006304E1"/>
    <w:rsid w:val="0063094A"/>
    <w:rsid w:val="00630D32"/>
    <w:rsid w:val="0063104F"/>
    <w:rsid w:val="0063120D"/>
    <w:rsid w:val="00631DD1"/>
    <w:rsid w:val="00631E70"/>
    <w:rsid w:val="00632198"/>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CD0"/>
    <w:rsid w:val="00634D0D"/>
    <w:rsid w:val="00634EAF"/>
    <w:rsid w:val="006350CB"/>
    <w:rsid w:val="006352E1"/>
    <w:rsid w:val="006352F1"/>
    <w:rsid w:val="006355BC"/>
    <w:rsid w:val="00635602"/>
    <w:rsid w:val="00635BA7"/>
    <w:rsid w:val="00635E65"/>
    <w:rsid w:val="00635EE1"/>
    <w:rsid w:val="006363BA"/>
    <w:rsid w:val="00636495"/>
    <w:rsid w:val="00636FA1"/>
    <w:rsid w:val="00637499"/>
    <w:rsid w:val="0063749E"/>
    <w:rsid w:val="006374BD"/>
    <w:rsid w:val="0063754F"/>
    <w:rsid w:val="00637C9E"/>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287"/>
    <w:rsid w:val="00646B04"/>
    <w:rsid w:val="00647274"/>
    <w:rsid w:val="0064762F"/>
    <w:rsid w:val="00647AEA"/>
    <w:rsid w:val="00647CCF"/>
    <w:rsid w:val="00647DBD"/>
    <w:rsid w:val="0065002B"/>
    <w:rsid w:val="00650115"/>
    <w:rsid w:val="00650280"/>
    <w:rsid w:val="0065044F"/>
    <w:rsid w:val="00650537"/>
    <w:rsid w:val="006506A1"/>
    <w:rsid w:val="00650A2C"/>
    <w:rsid w:val="00651015"/>
    <w:rsid w:val="006513B3"/>
    <w:rsid w:val="0065146B"/>
    <w:rsid w:val="0065156D"/>
    <w:rsid w:val="00651696"/>
    <w:rsid w:val="006516AA"/>
    <w:rsid w:val="0065172D"/>
    <w:rsid w:val="00651C67"/>
    <w:rsid w:val="00651C90"/>
    <w:rsid w:val="00651F15"/>
    <w:rsid w:val="006524B0"/>
    <w:rsid w:val="00652897"/>
    <w:rsid w:val="00652B97"/>
    <w:rsid w:val="00652CF3"/>
    <w:rsid w:val="00653212"/>
    <w:rsid w:val="006533DC"/>
    <w:rsid w:val="006533F9"/>
    <w:rsid w:val="00653561"/>
    <w:rsid w:val="00653578"/>
    <w:rsid w:val="0065376D"/>
    <w:rsid w:val="006538DD"/>
    <w:rsid w:val="006539E6"/>
    <w:rsid w:val="00653C05"/>
    <w:rsid w:val="00653DB6"/>
    <w:rsid w:val="00654111"/>
    <w:rsid w:val="006547AA"/>
    <w:rsid w:val="0065494B"/>
    <w:rsid w:val="0065498F"/>
    <w:rsid w:val="00654A45"/>
    <w:rsid w:val="00654B7A"/>
    <w:rsid w:val="00654D45"/>
    <w:rsid w:val="0065508A"/>
    <w:rsid w:val="006555F1"/>
    <w:rsid w:val="0065584A"/>
    <w:rsid w:val="006558B6"/>
    <w:rsid w:val="00655C4A"/>
    <w:rsid w:val="00655E71"/>
    <w:rsid w:val="006564F2"/>
    <w:rsid w:val="006569D4"/>
    <w:rsid w:val="00656BDA"/>
    <w:rsid w:val="006573F8"/>
    <w:rsid w:val="006574FF"/>
    <w:rsid w:val="00657580"/>
    <w:rsid w:val="00657F6D"/>
    <w:rsid w:val="006605F3"/>
    <w:rsid w:val="0066084D"/>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1C0"/>
    <w:rsid w:val="006632F6"/>
    <w:rsid w:val="006635E6"/>
    <w:rsid w:val="0066360D"/>
    <w:rsid w:val="0066371C"/>
    <w:rsid w:val="00663A9D"/>
    <w:rsid w:val="00663B6A"/>
    <w:rsid w:val="00663BE1"/>
    <w:rsid w:val="00663C11"/>
    <w:rsid w:val="00663CA8"/>
    <w:rsid w:val="006641F3"/>
    <w:rsid w:val="006646A2"/>
    <w:rsid w:val="00664C12"/>
    <w:rsid w:val="006651EE"/>
    <w:rsid w:val="00665416"/>
    <w:rsid w:val="0066583D"/>
    <w:rsid w:val="006658ED"/>
    <w:rsid w:val="00665957"/>
    <w:rsid w:val="006661D1"/>
    <w:rsid w:val="006668C2"/>
    <w:rsid w:val="00666946"/>
    <w:rsid w:val="006669D2"/>
    <w:rsid w:val="006669E0"/>
    <w:rsid w:val="00666BD2"/>
    <w:rsid w:val="00666C28"/>
    <w:rsid w:val="00666DCF"/>
    <w:rsid w:val="006675E7"/>
    <w:rsid w:val="00667634"/>
    <w:rsid w:val="0066794F"/>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E25"/>
    <w:rsid w:val="00672002"/>
    <w:rsid w:val="006721A3"/>
    <w:rsid w:val="00672322"/>
    <w:rsid w:val="00672E52"/>
    <w:rsid w:val="006730B9"/>
    <w:rsid w:val="0067327A"/>
    <w:rsid w:val="006734B8"/>
    <w:rsid w:val="00673501"/>
    <w:rsid w:val="00673653"/>
    <w:rsid w:val="00673CAE"/>
    <w:rsid w:val="00673DB7"/>
    <w:rsid w:val="00674026"/>
    <w:rsid w:val="00674072"/>
    <w:rsid w:val="00674613"/>
    <w:rsid w:val="006746BA"/>
    <w:rsid w:val="00674745"/>
    <w:rsid w:val="00675144"/>
    <w:rsid w:val="0067514F"/>
    <w:rsid w:val="0067549A"/>
    <w:rsid w:val="00675902"/>
    <w:rsid w:val="00675926"/>
    <w:rsid w:val="00676391"/>
    <w:rsid w:val="0067660C"/>
    <w:rsid w:val="00676749"/>
    <w:rsid w:val="00676A9A"/>
    <w:rsid w:val="00676E1F"/>
    <w:rsid w:val="0067724B"/>
    <w:rsid w:val="00677380"/>
    <w:rsid w:val="00677B0F"/>
    <w:rsid w:val="00677E58"/>
    <w:rsid w:val="00680367"/>
    <w:rsid w:val="006806CF"/>
    <w:rsid w:val="00680939"/>
    <w:rsid w:val="00680DFF"/>
    <w:rsid w:val="00680FB2"/>
    <w:rsid w:val="006811A0"/>
    <w:rsid w:val="006811BB"/>
    <w:rsid w:val="0068127A"/>
    <w:rsid w:val="00681465"/>
    <w:rsid w:val="006815BB"/>
    <w:rsid w:val="00681C75"/>
    <w:rsid w:val="00681DE5"/>
    <w:rsid w:val="00681FF2"/>
    <w:rsid w:val="00682389"/>
    <w:rsid w:val="00682423"/>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5BC6"/>
    <w:rsid w:val="00685D53"/>
    <w:rsid w:val="00685FA0"/>
    <w:rsid w:val="0068686B"/>
    <w:rsid w:val="00686A58"/>
    <w:rsid w:val="00686D94"/>
    <w:rsid w:val="006873B6"/>
    <w:rsid w:val="0068766C"/>
    <w:rsid w:val="006904A4"/>
    <w:rsid w:val="0069050E"/>
    <w:rsid w:val="00690B93"/>
    <w:rsid w:val="00690E99"/>
    <w:rsid w:val="00690FEB"/>
    <w:rsid w:val="006910AB"/>
    <w:rsid w:val="0069117F"/>
    <w:rsid w:val="0069129E"/>
    <w:rsid w:val="00691688"/>
    <w:rsid w:val="006916D0"/>
    <w:rsid w:val="00691DAE"/>
    <w:rsid w:val="00691E52"/>
    <w:rsid w:val="006920E6"/>
    <w:rsid w:val="00692557"/>
    <w:rsid w:val="006925A2"/>
    <w:rsid w:val="006926B1"/>
    <w:rsid w:val="00692890"/>
    <w:rsid w:val="00692936"/>
    <w:rsid w:val="00692997"/>
    <w:rsid w:val="00692B83"/>
    <w:rsid w:val="00693623"/>
    <w:rsid w:val="00693BC9"/>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F52"/>
    <w:rsid w:val="006960D8"/>
    <w:rsid w:val="006960F5"/>
    <w:rsid w:val="00696249"/>
    <w:rsid w:val="00696279"/>
    <w:rsid w:val="006963F0"/>
    <w:rsid w:val="0069641C"/>
    <w:rsid w:val="0069666D"/>
    <w:rsid w:val="00696A75"/>
    <w:rsid w:val="00696C45"/>
    <w:rsid w:val="00696E31"/>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EAA"/>
    <w:rsid w:val="006A2FDF"/>
    <w:rsid w:val="006A3375"/>
    <w:rsid w:val="006A36C8"/>
    <w:rsid w:val="006A3964"/>
    <w:rsid w:val="006A3A2B"/>
    <w:rsid w:val="006A3C6C"/>
    <w:rsid w:val="006A42F3"/>
    <w:rsid w:val="006A444D"/>
    <w:rsid w:val="006A44A4"/>
    <w:rsid w:val="006A47AA"/>
    <w:rsid w:val="006A4A44"/>
    <w:rsid w:val="006A4B54"/>
    <w:rsid w:val="006A50A1"/>
    <w:rsid w:val="006A51E9"/>
    <w:rsid w:val="006A53B0"/>
    <w:rsid w:val="006A5775"/>
    <w:rsid w:val="006A593D"/>
    <w:rsid w:val="006A597F"/>
    <w:rsid w:val="006A6160"/>
    <w:rsid w:val="006A6319"/>
    <w:rsid w:val="006A640A"/>
    <w:rsid w:val="006A644B"/>
    <w:rsid w:val="006A655C"/>
    <w:rsid w:val="006A6560"/>
    <w:rsid w:val="006A6666"/>
    <w:rsid w:val="006A66EC"/>
    <w:rsid w:val="006A67FE"/>
    <w:rsid w:val="006A6956"/>
    <w:rsid w:val="006A6B5E"/>
    <w:rsid w:val="006A6E5C"/>
    <w:rsid w:val="006A7321"/>
    <w:rsid w:val="006A7541"/>
    <w:rsid w:val="006A7784"/>
    <w:rsid w:val="006A797D"/>
    <w:rsid w:val="006A7994"/>
    <w:rsid w:val="006A7BAA"/>
    <w:rsid w:val="006A7BEE"/>
    <w:rsid w:val="006A7CC3"/>
    <w:rsid w:val="006A7F61"/>
    <w:rsid w:val="006A7FD2"/>
    <w:rsid w:val="006B011C"/>
    <w:rsid w:val="006B01CC"/>
    <w:rsid w:val="006B0B90"/>
    <w:rsid w:val="006B0C14"/>
    <w:rsid w:val="006B0DDF"/>
    <w:rsid w:val="006B10CB"/>
    <w:rsid w:val="006B1695"/>
    <w:rsid w:val="006B1798"/>
    <w:rsid w:val="006B1A21"/>
    <w:rsid w:val="006B1DF2"/>
    <w:rsid w:val="006B1FAB"/>
    <w:rsid w:val="006B228A"/>
    <w:rsid w:val="006B2438"/>
    <w:rsid w:val="006B28B1"/>
    <w:rsid w:val="006B2A0A"/>
    <w:rsid w:val="006B2A6B"/>
    <w:rsid w:val="006B2B1E"/>
    <w:rsid w:val="006B2B65"/>
    <w:rsid w:val="006B2BD9"/>
    <w:rsid w:val="006B2F30"/>
    <w:rsid w:val="006B2F74"/>
    <w:rsid w:val="006B3037"/>
    <w:rsid w:val="006B3234"/>
    <w:rsid w:val="006B3597"/>
    <w:rsid w:val="006B35BF"/>
    <w:rsid w:val="006B35C8"/>
    <w:rsid w:val="006B3D6E"/>
    <w:rsid w:val="006B3E3B"/>
    <w:rsid w:val="006B3FC1"/>
    <w:rsid w:val="006B40AA"/>
    <w:rsid w:val="006B417E"/>
    <w:rsid w:val="006B4335"/>
    <w:rsid w:val="006B43AC"/>
    <w:rsid w:val="006B4592"/>
    <w:rsid w:val="006B4820"/>
    <w:rsid w:val="006B4A0C"/>
    <w:rsid w:val="006B4A53"/>
    <w:rsid w:val="006B4A62"/>
    <w:rsid w:val="006B4C73"/>
    <w:rsid w:val="006B4D6F"/>
    <w:rsid w:val="006B4EAB"/>
    <w:rsid w:val="006B51ED"/>
    <w:rsid w:val="006B5248"/>
    <w:rsid w:val="006B5266"/>
    <w:rsid w:val="006B528E"/>
    <w:rsid w:val="006B53A2"/>
    <w:rsid w:val="006B5532"/>
    <w:rsid w:val="006B5633"/>
    <w:rsid w:val="006B5705"/>
    <w:rsid w:val="006B5926"/>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3A"/>
    <w:rsid w:val="006C6546"/>
    <w:rsid w:val="006C65E2"/>
    <w:rsid w:val="006C6B5A"/>
    <w:rsid w:val="006C6BC7"/>
    <w:rsid w:val="006C6D37"/>
    <w:rsid w:val="006C703C"/>
    <w:rsid w:val="006C7161"/>
    <w:rsid w:val="006C747D"/>
    <w:rsid w:val="006C74E9"/>
    <w:rsid w:val="006C7B74"/>
    <w:rsid w:val="006C7CC8"/>
    <w:rsid w:val="006C7E2A"/>
    <w:rsid w:val="006C7F83"/>
    <w:rsid w:val="006C7F97"/>
    <w:rsid w:val="006D034D"/>
    <w:rsid w:val="006D06E1"/>
    <w:rsid w:val="006D0CD6"/>
    <w:rsid w:val="006D1028"/>
    <w:rsid w:val="006D133C"/>
    <w:rsid w:val="006D134F"/>
    <w:rsid w:val="006D1C39"/>
    <w:rsid w:val="006D1E35"/>
    <w:rsid w:val="006D2321"/>
    <w:rsid w:val="006D2491"/>
    <w:rsid w:val="006D2777"/>
    <w:rsid w:val="006D2B86"/>
    <w:rsid w:val="006D335B"/>
    <w:rsid w:val="006D342D"/>
    <w:rsid w:val="006D39D2"/>
    <w:rsid w:val="006D3A1B"/>
    <w:rsid w:val="006D3F39"/>
    <w:rsid w:val="006D42CD"/>
    <w:rsid w:val="006D43AD"/>
    <w:rsid w:val="006D452D"/>
    <w:rsid w:val="006D4582"/>
    <w:rsid w:val="006D4781"/>
    <w:rsid w:val="006D4940"/>
    <w:rsid w:val="006D4C4B"/>
    <w:rsid w:val="006D5175"/>
    <w:rsid w:val="006D525B"/>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151D"/>
    <w:rsid w:val="006E1808"/>
    <w:rsid w:val="006E1855"/>
    <w:rsid w:val="006E1963"/>
    <w:rsid w:val="006E19CD"/>
    <w:rsid w:val="006E1A63"/>
    <w:rsid w:val="006E1BD2"/>
    <w:rsid w:val="006E2150"/>
    <w:rsid w:val="006E26E4"/>
    <w:rsid w:val="006E2A18"/>
    <w:rsid w:val="006E2B27"/>
    <w:rsid w:val="006E2B94"/>
    <w:rsid w:val="006E2E4C"/>
    <w:rsid w:val="006E316E"/>
    <w:rsid w:val="006E328A"/>
    <w:rsid w:val="006E3530"/>
    <w:rsid w:val="006E373C"/>
    <w:rsid w:val="006E3A0D"/>
    <w:rsid w:val="006E3DEF"/>
    <w:rsid w:val="006E411F"/>
    <w:rsid w:val="006E413D"/>
    <w:rsid w:val="006E41C0"/>
    <w:rsid w:val="006E4AB4"/>
    <w:rsid w:val="006E4B8E"/>
    <w:rsid w:val="006E4C16"/>
    <w:rsid w:val="006E4CD8"/>
    <w:rsid w:val="006E517E"/>
    <w:rsid w:val="006E52F4"/>
    <w:rsid w:val="006E547C"/>
    <w:rsid w:val="006E58AB"/>
    <w:rsid w:val="006E592E"/>
    <w:rsid w:val="006E59AF"/>
    <w:rsid w:val="006E5D06"/>
    <w:rsid w:val="006E5D4B"/>
    <w:rsid w:val="006E5EA0"/>
    <w:rsid w:val="006E6655"/>
    <w:rsid w:val="006E66FB"/>
    <w:rsid w:val="006E6867"/>
    <w:rsid w:val="006E692F"/>
    <w:rsid w:val="006E6CDE"/>
    <w:rsid w:val="006E70EE"/>
    <w:rsid w:val="006E72A9"/>
    <w:rsid w:val="006E7589"/>
    <w:rsid w:val="006E7DAB"/>
    <w:rsid w:val="006E7FE2"/>
    <w:rsid w:val="006F0287"/>
    <w:rsid w:val="006F0294"/>
    <w:rsid w:val="006F03BC"/>
    <w:rsid w:val="006F06F5"/>
    <w:rsid w:val="006F0993"/>
    <w:rsid w:val="006F0ACF"/>
    <w:rsid w:val="006F0DB8"/>
    <w:rsid w:val="006F0F01"/>
    <w:rsid w:val="006F0F39"/>
    <w:rsid w:val="006F11AA"/>
    <w:rsid w:val="006F1221"/>
    <w:rsid w:val="006F1823"/>
    <w:rsid w:val="006F1963"/>
    <w:rsid w:val="006F1A70"/>
    <w:rsid w:val="006F1B37"/>
    <w:rsid w:val="006F1C57"/>
    <w:rsid w:val="006F1DB9"/>
    <w:rsid w:val="006F1DFC"/>
    <w:rsid w:val="006F1E59"/>
    <w:rsid w:val="006F217C"/>
    <w:rsid w:val="006F2345"/>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1E1"/>
    <w:rsid w:val="006F54ED"/>
    <w:rsid w:val="006F5807"/>
    <w:rsid w:val="006F5BA5"/>
    <w:rsid w:val="006F5D3F"/>
    <w:rsid w:val="006F5E0B"/>
    <w:rsid w:val="006F683D"/>
    <w:rsid w:val="006F6875"/>
    <w:rsid w:val="006F69B5"/>
    <w:rsid w:val="006F6BA5"/>
    <w:rsid w:val="006F6FC6"/>
    <w:rsid w:val="006F7098"/>
    <w:rsid w:val="006F70A0"/>
    <w:rsid w:val="006F70AC"/>
    <w:rsid w:val="006F70B7"/>
    <w:rsid w:val="006F7148"/>
    <w:rsid w:val="006F7350"/>
    <w:rsid w:val="006F7382"/>
    <w:rsid w:val="006F79BF"/>
    <w:rsid w:val="006F7A84"/>
    <w:rsid w:val="006F7AD4"/>
    <w:rsid w:val="007000D7"/>
    <w:rsid w:val="00700162"/>
    <w:rsid w:val="00700245"/>
    <w:rsid w:val="00700248"/>
    <w:rsid w:val="00700EAF"/>
    <w:rsid w:val="007010F1"/>
    <w:rsid w:val="00701174"/>
    <w:rsid w:val="00701729"/>
    <w:rsid w:val="007018D7"/>
    <w:rsid w:val="00701A1E"/>
    <w:rsid w:val="00701ACB"/>
    <w:rsid w:val="007022B6"/>
    <w:rsid w:val="00702BBF"/>
    <w:rsid w:val="00702C34"/>
    <w:rsid w:val="00702EF2"/>
    <w:rsid w:val="00702F01"/>
    <w:rsid w:val="007032E1"/>
    <w:rsid w:val="007034F8"/>
    <w:rsid w:val="0070356D"/>
    <w:rsid w:val="007038AF"/>
    <w:rsid w:val="00703E0E"/>
    <w:rsid w:val="00703F6F"/>
    <w:rsid w:val="00704181"/>
    <w:rsid w:val="0070418B"/>
    <w:rsid w:val="00704825"/>
    <w:rsid w:val="00704F9A"/>
    <w:rsid w:val="00704FAF"/>
    <w:rsid w:val="00705211"/>
    <w:rsid w:val="0070531E"/>
    <w:rsid w:val="007053E8"/>
    <w:rsid w:val="007053F4"/>
    <w:rsid w:val="00705C86"/>
    <w:rsid w:val="007060DC"/>
    <w:rsid w:val="007060DE"/>
    <w:rsid w:val="0070613E"/>
    <w:rsid w:val="007062E4"/>
    <w:rsid w:val="007063C3"/>
    <w:rsid w:val="007064A5"/>
    <w:rsid w:val="00706AA0"/>
    <w:rsid w:val="00706B31"/>
    <w:rsid w:val="00706BAA"/>
    <w:rsid w:val="00706DA5"/>
    <w:rsid w:val="007072F8"/>
    <w:rsid w:val="007078C1"/>
    <w:rsid w:val="0071023B"/>
    <w:rsid w:val="00710512"/>
    <w:rsid w:val="00710B16"/>
    <w:rsid w:val="00711060"/>
    <w:rsid w:val="007118B9"/>
    <w:rsid w:val="00711995"/>
    <w:rsid w:val="00711EF1"/>
    <w:rsid w:val="00712176"/>
    <w:rsid w:val="00712567"/>
    <w:rsid w:val="00712701"/>
    <w:rsid w:val="007128C0"/>
    <w:rsid w:val="007129CB"/>
    <w:rsid w:val="00712B0C"/>
    <w:rsid w:val="00712B23"/>
    <w:rsid w:val="00712B2D"/>
    <w:rsid w:val="00712F4A"/>
    <w:rsid w:val="0071316C"/>
    <w:rsid w:val="007132F7"/>
    <w:rsid w:val="007133AD"/>
    <w:rsid w:val="00713426"/>
    <w:rsid w:val="0071347E"/>
    <w:rsid w:val="00713841"/>
    <w:rsid w:val="00713D36"/>
    <w:rsid w:val="00713DE0"/>
    <w:rsid w:val="00714A06"/>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6CE"/>
    <w:rsid w:val="00720A09"/>
    <w:rsid w:val="00720A5C"/>
    <w:rsid w:val="00721024"/>
    <w:rsid w:val="007210CA"/>
    <w:rsid w:val="0072111B"/>
    <w:rsid w:val="007211B5"/>
    <w:rsid w:val="0072150D"/>
    <w:rsid w:val="0072185B"/>
    <w:rsid w:val="0072229D"/>
    <w:rsid w:val="00722305"/>
    <w:rsid w:val="00722379"/>
    <w:rsid w:val="00722875"/>
    <w:rsid w:val="00722A4D"/>
    <w:rsid w:val="00722C37"/>
    <w:rsid w:val="00722DD2"/>
    <w:rsid w:val="00722F04"/>
    <w:rsid w:val="007232EE"/>
    <w:rsid w:val="007234E9"/>
    <w:rsid w:val="0072367B"/>
    <w:rsid w:val="00723695"/>
    <w:rsid w:val="00723705"/>
    <w:rsid w:val="00723DAE"/>
    <w:rsid w:val="00723E3D"/>
    <w:rsid w:val="0072438F"/>
    <w:rsid w:val="007246E9"/>
    <w:rsid w:val="00724A52"/>
    <w:rsid w:val="00724AA4"/>
    <w:rsid w:val="00724CBA"/>
    <w:rsid w:val="00724CEB"/>
    <w:rsid w:val="00724CF5"/>
    <w:rsid w:val="00724FC5"/>
    <w:rsid w:val="00725667"/>
    <w:rsid w:val="007256CB"/>
    <w:rsid w:val="00725C85"/>
    <w:rsid w:val="00725F82"/>
    <w:rsid w:val="00725F92"/>
    <w:rsid w:val="00726066"/>
    <w:rsid w:val="007262B4"/>
    <w:rsid w:val="00726328"/>
    <w:rsid w:val="0072657E"/>
    <w:rsid w:val="007265C7"/>
    <w:rsid w:val="00726807"/>
    <w:rsid w:val="00726F52"/>
    <w:rsid w:val="007271E1"/>
    <w:rsid w:val="00727341"/>
    <w:rsid w:val="007273AF"/>
    <w:rsid w:val="007274F4"/>
    <w:rsid w:val="00727C7C"/>
    <w:rsid w:val="00730000"/>
    <w:rsid w:val="007300B8"/>
    <w:rsid w:val="007302DA"/>
    <w:rsid w:val="00730491"/>
    <w:rsid w:val="007305DB"/>
    <w:rsid w:val="00730A00"/>
    <w:rsid w:val="00730CDA"/>
    <w:rsid w:val="00730D86"/>
    <w:rsid w:val="00731436"/>
    <w:rsid w:val="00731447"/>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DD5"/>
    <w:rsid w:val="00732DFC"/>
    <w:rsid w:val="0073304C"/>
    <w:rsid w:val="00733058"/>
    <w:rsid w:val="007339AE"/>
    <w:rsid w:val="00733B12"/>
    <w:rsid w:val="00733DCF"/>
    <w:rsid w:val="0073402B"/>
    <w:rsid w:val="0073417A"/>
    <w:rsid w:val="007342C4"/>
    <w:rsid w:val="007343A6"/>
    <w:rsid w:val="007345FB"/>
    <w:rsid w:val="007346D8"/>
    <w:rsid w:val="00734A1C"/>
    <w:rsid w:val="00734B6D"/>
    <w:rsid w:val="00734DD2"/>
    <w:rsid w:val="00734DEB"/>
    <w:rsid w:val="00735030"/>
    <w:rsid w:val="00735171"/>
    <w:rsid w:val="007355FB"/>
    <w:rsid w:val="0073585E"/>
    <w:rsid w:val="00735A01"/>
    <w:rsid w:val="00736193"/>
    <w:rsid w:val="0073626D"/>
    <w:rsid w:val="00736443"/>
    <w:rsid w:val="00736445"/>
    <w:rsid w:val="00736884"/>
    <w:rsid w:val="00736A84"/>
    <w:rsid w:val="00736B46"/>
    <w:rsid w:val="00736B84"/>
    <w:rsid w:val="00736BA5"/>
    <w:rsid w:val="007373F0"/>
    <w:rsid w:val="007379F3"/>
    <w:rsid w:val="00737CB1"/>
    <w:rsid w:val="0074012D"/>
    <w:rsid w:val="0074067C"/>
    <w:rsid w:val="00740704"/>
    <w:rsid w:val="007407AF"/>
    <w:rsid w:val="007407C0"/>
    <w:rsid w:val="00740B8F"/>
    <w:rsid w:val="00740D27"/>
    <w:rsid w:val="0074115D"/>
    <w:rsid w:val="00741368"/>
    <w:rsid w:val="007413AB"/>
    <w:rsid w:val="007414EB"/>
    <w:rsid w:val="007417D7"/>
    <w:rsid w:val="0074192E"/>
    <w:rsid w:val="007419AF"/>
    <w:rsid w:val="00741F43"/>
    <w:rsid w:val="00742095"/>
    <w:rsid w:val="007421C9"/>
    <w:rsid w:val="007421E8"/>
    <w:rsid w:val="00742224"/>
    <w:rsid w:val="00742462"/>
    <w:rsid w:val="007424E2"/>
    <w:rsid w:val="00742B3F"/>
    <w:rsid w:val="00742B45"/>
    <w:rsid w:val="00742DD9"/>
    <w:rsid w:val="00742DF6"/>
    <w:rsid w:val="00742FC5"/>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91"/>
    <w:rsid w:val="007519E0"/>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CE8"/>
    <w:rsid w:val="00753E22"/>
    <w:rsid w:val="00754081"/>
    <w:rsid w:val="00754588"/>
    <w:rsid w:val="00755016"/>
    <w:rsid w:val="0075512B"/>
    <w:rsid w:val="0075535A"/>
    <w:rsid w:val="0075536E"/>
    <w:rsid w:val="00755381"/>
    <w:rsid w:val="00755582"/>
    <w:rsid w:val="007557C1"/>
    <w:rsid w:val="00755832"/>
    <w:rsid w:val="00755B50"/>
    <w:rsid w:val="00755B54"/>
    <w:rsid w:val="00755D9F"/>
    <w:rsid w:val="00756176"/>
    <w:rsid w:val="007561D9"/>
    <w:rsid w:val="007563C3"/>
    <w:rsid w:val="00756513"/>
    <w:rsid w:val="00756C9D"/>
    <w:rsid w:val="00756CB5"/>
    <w:rsid w:val="00756D2B"/>
    <w:rsid w:val="00756EFE"/>
    <w:rsid w:val="00757581"/>
    <w:rsid w:val="00757B7D"/>
    <w:rsid w:val="00757CF3"/>
    <w:rsid w:val="0076005F"/>
    <w:rsid w:val="0076012A"/>
    <w:rsid w:val="0076017C"/>
    <w:rsid w:val="00760184"/>
    <w:rsid w:val="00760469"/>
    <w:rsid w:val="007604E7"/>
    <w:rsid w:val="007608D7"/>
    <w:rsid w:val="0076090F"/>
    <w:rsid w:val="00760A8F"/>
    <w:rsid w:val="00760BBA"/>
    <w:rsid w:val="00760BF2"/>
    <w:rsid w:val="00761377"/>
    <w:rsid w:val="00761888"/>
    <w:rsid w:val="00761C27"/>
    <w:rsid w:val="00761EE0"/>
    <w:rsid w:val="00761EE6"/>
    <w:rsid w:val="0076219C"/>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2C"/>
    <w:rsid w:val="00764831"/>
    <w:rsid w:val="00764B89"/>
    <w:rsid w:val="00764EBD"/>
    <w:rsid w:val="007655AF"/>
    <w:rsid w:val="00765853"/>
    <w:rsid w:val="00765876"/>
    <w:rsid w:val="00765ADA"/>
    <w:rsid w:val="00765B17"/>
    <w:rsid w:val="00765BD3"/>
    <w:rsid w:val="00765FC8"/>
    <w:rsid w:val="0076608C"/>
    <w:rsid w:val="007660BB"/>
    <w:rsid w:val="007661AD"/>
    <w:rsid w:val="00766357"/>
    <w:rsid w:val="007663F6"/>
    <w:rsid w:val="0076641E"/>
    <w:rsid w:val="0076666D"/>
    <w:rsid w:val="0076672C"/>
    <w:rsid w:val="007669F8"/>
    <w:rsid w:val="00766BE5"/>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877"/>
    <w:rsid w:val="00771987"/>
    <w:rsid w:val="00771B6C"/>
    <w:rsid w:val="00771B9B"/>
    <w:rsid w:val="00771F1C"/>
    <w:rsid w:val="00772708"/>
    <w:rsid w:val="007727B5"/>
    <w:rsid w:val="00772BA9"/>
    <w:rsid w:val="00772BB0"/>
    <w:rsid w:val="00772C65"/>
    <w:rsid w:val="00773499"/>
    <w:rsid w:val="007734CD"/>
    <w:rsid w:val="00773773"/>
    <w:rsid w:val="00773875"/>
    <w:rsid w:val="00773C4B"/>
    <w:rsid w:val="00773C74"/>
    <w:rsid w:val="00773D51"/>
    <w:rsid w:val="00773E74"/>
    <w:rsid w:val="00773FCD"/>
    <w:rsid w:val="00773FFF"/>
    <w:rsid w:val="00774593"/>
    <w:rsid w:val="00774B90"/>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5D3"/>
    <w:rsid w:val="0077783D"/>
    <w:rsid w:val="00777C3C"/>
    <w:rsid w:val="00777D04"/>
    <w:rsid w:val="00777E67"/>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2A"/>
    <w:rsid w:val="0078368A"/>
    <w:rsid w:val="00783AC2"/>
    <w:rsid w:val="00783D2A"/>
    <w:rsid w:val="00783E89"/>
    <w:rsid w:val="00784245"/>
    <w:rsid w:val="00784463"/>
    <w:rsid w:val="00784790"/>
    <w:rsid w:val="00784B69"/>
    <w:rsid w:val="00784B88"/>
    <w:rsid w:val="007854A4"/>
    <w:rsid w:val="00785795"/>
    <w:rsid w:val="007860F3"/>
    <w:rsid w:val="00786BB1"/>
    <w:rsid w:val="0078700F"/>
    <w:rsid w:val="00787274"/>
    <w:rsid w:val="00787460"/>
    <w:rsid w:val="007875D9"/>
    <w:rsid w:val="007878D3"/>
    <w:rsid w:val="00790075"/>
    <w:rsid w:val="0079036A"/>
    <w:rsid w:val="0079038F"/>
    <w:rsid w:val="00790405"/>
    <w:rsid w:val="0079099E"/>
    <w:rsid w:val="00790A12"/>
    <w:rsid w:val="00790AFD"/>
    <w:rsid w:val="00790B19"/>
    <w:rsid w:val="00790BE7"/>
    <w:rsid w:val="00790C44"/>
    <w:rsid w:val="00790D3B"/>
    <w:rsid w:val="00790F90"/>
    <w:rsid w:val="00791787"/>
    <w:rsid w:val="007919B2"/>
    <w:rsid w:val="00791ACA"/>
    <w:rsid w:val="00791AF4"/>
    <w:rsid w:val="00791C37"/>
    <w:rsid w:val="00792092"/>
    <w:rsid w:val="007922C6"/>
    <w:rsid w:val="00792FA0"/>
    <w:rsid w:val="0079351D"/>
    <w:rsid w:val="007939DA"/>
    <w:rsid w:val="00793C0B"/>
    <w:rsid w:val="00793F7F"/>
    <w:rsid w:val="0079400B"/>
    <w:rsid w:val="0079416C"/>
    <w:rsid w:val="0079418B"/>
    <w:rsid w:val="007942DD"/>
    <w:rsid w:val="007943BD"/>
    <w:rsid w:val="007944D2"/>
    <w:rsid w:val="007944E7"/>
    <w:rsid w:val="00794598"/>
    <w:rsid w:val="00794B84"/>
    <w:rsid w:val="00794C81"/>
    <w:rsid w:val="00794D6E"/>
    <w:rsid w:val="007956D0"/>
    <w:rsid w:val="00795A54"/>
    <w:rsid w:val="00795EE9"/>
    <w:rsid w:val="007965C0"/>
    <w:rsid w:val="0079663E"/>
    <w:rsid w:val="007966C7"/>
    <w:rsid w:val="0079672B"/>
    <w:rsid w:val="00796F2E"/>
    <w:rsid w:val="00797220"/>
    <w:rsid w:val="00797406"/>
    <w:rsid w:val="00797502"/>
    <w:rsid w:val="00797722"/>
    <w:rsid w:val="00797F5D"/>
    <w:rsid w:val="007A0B06"/>
    <w:rsid w:val="007A0B87"/>
    <w:rsid w:val="007A12AD"/>
    <w:rsid w:val="007A12FE"/>
    <w:rsid w:val="007A1683"/>
    <w:rsid w:val="007A19F7"/>
    <w:rsid w:val="007A1EFD"/>
    <w:rsid w:val="007A214E"/>
    <w:rsid w:val="007A2A04"/>
    <w:rsid w:val="007A2F9F"/>
    <w:rsid w:val="007A3458"/>
    <w:rsid w:val="007A3525"/>
    <w:rsid w:val="007A3BCD"/>
    <w:rsid w:val="007A3D6C"/>
    <w:rsid w:val="007A3F02"/>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60F1"/>
    <w:rsid w:val="007A61C4"/>
    <w:rsid w:val="007A625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03A"/>
    <w:rsid w:val="007B32CC"/>
    <w:rsid w:val="007B3592"/>
    <w:rsid w:val="007B38FD"/>
    <w:rsid w:val="007B39C5"/>
    <w:rsid w:val="007B3E80"/>
    <w:rsid w:val="007B3E8E"/>
    <w:rsid w:val="007B4199"/>
    <w:rsid w:val="007B41A4"/>
    <w:rsid w:val="007B4239"/>
    <w:rsid w:val="007B485A"/>
    <w:rsid w:val="007B4EC2"/>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5DF"/>
    <w:rsid w:val="007C0B17"/>
    <w:rsid w:val="007C0ECD"/>
    <w:rsid w:val="007C10DA"/>
    <w:rsid w:val="007C1178"/>
    <w:rsid w:val="007C13FC"/>
    <w:rsid w:val="007C1F52"/>
    <w:rsid w:val="007C1F76"/>
    <w:rsid w:val="007C1F9E"/>
    <w:rsid w:val="007C207E"/>
    <w:rsid w:val="007C2418"/>
    <w:rsid w:val="007C24B2"/>
    <w:rsid w:val="007C27A3"/>
    <w:rsid w:val="007C2860"/>
    <w:rsid w:val="007C2BC3"/>
    <w:rsid w:val="007C2E62"/>
    <w:rsid w:val="007C33F3"/>
    <w:rsid w:val="007C3671"/>
    <w:rsid w:val="007C3A34"/>
    <w:rsid w:val="007C3FCB"/>
    <w:rsid w:val="007C4225"/>
    <w:rsid w:val="007C49C9"/>
    <w:rsid w:val="007C49F6"/>
    <w:rsid w:val="007C4FC6"/>
    <w:rsid w:val="007C5E5D"/>
    <w:rsid w:val="007C6111"/>
    <w:rsid w:val="007C6284"/>
    <w:rsid w:val="007C6594"/>
    <w:rsid w:val="007C6608"/>
    <w:rsid w:val="007C6691"/>
    <w:rsid w:val="007C6762"/>
    <w:rsid w:val="007C6A3B"/>
    <w:rsid w:val="007C785C"/>
    <w:rsid w:val="007D01D7"/>
    <w:rsid w:val="007D06AA"/>
    <w:rsid w:val="007D0AD4"/>
    <w:rsid w:val="007D0B67"/>
    <w:rsid w:val="007D12C5"/>
    <w:rsid w:val="007D136E"/>
    <w:rsid w:val="007D1462"/>
    <w:rsid w:val="007D1637"/>
    <w:rsid w:val="007D16C4"/>
    <w:rsid w:val="007D19D2"/>
    <w:rsid w:val="007D1B63"/>
    <w:rsid w:val="007D1C1E"/>
    <w:rsid w:val="007D1DAF"/>
    <w:rsid w:val="007D1EC0"/>
    <w:rsid w:val="007D2016"/>
    <w:rsid w:val="007D232B"/>
    <w:rsid w:val="007D25B7"/>
    <w:rsid w:val="007D27C9"/>
    <w:rsid w:val="007D27E5"/>
    <w:rsid w:val="007D28D7"/>
    <w:rsid w:val="007D2955"/>
    <w:rsid w:val="007D29AA"/>
    <w:rsid w:val="007D2B83"/>
    <w:rsid w:val="007D2C72"/>
    <w:rsid w:val="007D2DB0"/>
    <w:rsid w:val="007D3021"/>
    <w:rsid w:val="007D3080"/>
    <w:rsid w:val="007D33E5"/>
    <w:rsid w:val="007D33F5"/>
    <w:rsid w:val="007D3749"/>
    <w:rsid w:val="007D3B66"/>
    <w:rsid w:val="007D3ED8"/>
    <w:rsid w:val="007D3FEB"/>
    <w:rsid w:val="007D415B"/>
    <w:rsid w:val="007D4441"/>
    <w:rsid w:val="007D4470"/>
    <w:rsid w:val="007D4739"/>
    <w:rsid w:val="007D49DA"/>
    <w:rsid w:val="007D4BA0"/>
    <w:rsid w:val="007D4C3E"/>
    <w:rsid w:val="007D4D57"/>
    <w:rsid w:val="007D4EB4"/>
    <w:rsid w:val="007D501C"/>
    <w:rsid w:val="007D5137"/>
    <w:rsid w:val="007D5194"/>
    <w:rsid w:val="007D6265"/>
    <w:rsid w:val="007D63C3"/>
    <w:rsid w:val="007D640D"/>
    <w:rsid w:val="007D65A9"/>
    <w:rsid w:val="007D66F3"/>
    <w:rsid w:val="007D68C0"/>
    <w:rsid w:val="007D69A5"/>
    <w:rsid w:val="007D712C"/>
    <w:rsid w:val="007D73C8"/>
    <w:rsid w:val="007E011E"/>
    <w:rsid w:val="007E0290"/>
    <w:rsid w:val="007E041A"/>
    <w:rsid w:val="007E08BF"/>
    <w:rsid w:val="007E0985"/>
    <w:rsid w:val="007E09C4"/>
    <w:rsid w:val="007E0EEC"/>
    <w:rsid w:val="007E0F20"/>
    <w:rsid w:val="007E0F36"/>
    <w:rsid w:val="007E0FAF"/>
    <w:rsid w:val="007E16C8"/>
    <w:rsid w:val="007E184F"/>
    <w:rsid w:val="007E18AB"/>
    <w:rsid w:val="007E19DB"/>
    <w:rsid w:val="007E19E3"/>
    <w:rsid w:val="007E1A5B"/>
    <w:rsid w:val="007E22BF"/>
    <w:rsid w:val="007E24C9"/>
    <w:rsid w:val="007E2524"/>
    <w:rsid w:val="007E289E"/>
    <w:rsid w:val="007E2AC1"/>
    <w:rsid w:val="007E2CF4"/>
    <w:rsid w:val="007E2D26"/>
    <w:rsid w:val="007E2E9F"/>
    <w:rsid w:val="007E3078"/>
    <w:rsid w:val="007E3553"/>
    <w:rsid w:val="007E3581"/>
    <w:rsid w:val="007E36B7"/>
    <w:rsid w:val="007E38E4"/>
    <w:rsid w:val="007E3A95"/>
    <w:rsid w:val="007E3BCD"/>
    <w:rsid w:val="007E3FB4"/>
    <w:rsid w:val="007E4071"/>
    <w:rsid w:val="007E44BD"/>
    <w:rsid w:val="007E4553"/>
    <w:rsid w:val="007E455B"/>
    <w:rsid w:val="007E4975"/>
    <w:rsid w:val="007E4A7D"/>
    <w:rsid w:val="007E4C21"/>
    <w:rsid w:val="007E5860"/>
    <w:rsid w:val="007E5AC0"/>
    <w:rsid w:val="007E5B7A"/>
    <w:rsid w:val="007E64B4"/>
    <w:rsid w:val="007E658D"/>
    <w:rsid w:val="007E6A00"/>
    <w:rsid w:val="007E6B3D"/>
    <w:rsid w:val="007E6C28"/>
    <w:rsid w:val="007E6D3B"/>
    <w:rsid w:val="007E6EE8"/>
    <w:rsid w:val="007E72AA"/>
    <w:rsid w:val="007E746D"/>
    <w:rsid w:val="007E7525"/>
    <w:rsid w:val="007E75B1"/>
    <w:rsid w:val="007E771B"/>
    <w:rsid w:val="007F00B8"/>
    <w:rsid w:val="007F0256"/>
    <w:rsid w:val="007F0578"/>
    <w:rsid w:val="007F0604"/>
    <w:rsid w:val="007F0B08"/>
    <w:rsid w:val="007F0DC3"/>
    <w:rsid w:val="007F1063"/>
    <w:rsid w:val="007F14CF"/>
    <w:rsid w:val="007F14F4"/>
    <w:rsid w:val="007F15A7"/>
    <w:rsid w:val="007F15C6"/>
    <w:rsid w:val="007F1947"/>
    <w:rsid w:val="007F1A7C"/>
    <w:rsid w:val="007F23E1"/>
    <w:rsid w:val="007F2780"/>
    <w:rsid w:val="007F2D1B"/>
    <w:rsid w:val="007F3045"/>
    <w:rsid w:val="007F304B"/>
    <w:rsid w:val="007F3744"/>
    <w:rsid w:val="007F39CE"/>
    <w:rsid w:val="007F3ACC"/>
    <w:rsid w:val="007F3DC9"/>
    <w:rsid w:val="007F44D3"/>
    <w:rsid w:val="007F45B1"/>
    <w:rsid w:val="007F4759"/>
    <w:rsid w:val="007F4AB1"/>
    <w:rsid w:val="007F4B39"/>
    <w:rsid w:val="007F4EE2"/>
    <w:rsid w:val="007F4FAF"/>
    <w:rsid w:val="007F55A3"/>
    <w:rsid w:val="007F571C"/>
    <w:rsid w:val="007F5999"/>
    <w:rsid w:val="007F5A9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C7F"/>
    <w:rsid w:val="00802F9D"/>
    <w:rsid w:val="00803051"/>
    <w:rsid w:val="00803136"/>
    <w:rsid w:val="0080331B"/>
    <w:rsid w:val="008034D7"/>
    <w:rsid w:val="0080397C"/>
    <w:rsid w:val="00803CF1"/>
    <w:rsid w:val="00804011"/>
    <w:rsid w:val="00804191"/>
    <w:rsid w:val="0080432C"/>
    <w:rsid w:val="00804440"/>
    <w:rsid w:val="00804713"/>
    <w:rsid w:val="00804C4F"/>
    <w:rsid w:val="00804D03"/>
    <w:rsid w:val="008051A9"/>
    <w:rsid w:val="008051D0"/>
    <w:rsid w:val="0080530C"/>
    <w:rsid w:val="00805738"/>
    <w:rsid w:val="00805A29"/>
    <w:rsid w:val="00805BDC"/>
    <w:rsid w:val="00805EB6"/>
    <w:rsid w:val="008062B3"/>
    <w:rsid w:val="00806636"/>
    <w:rsid w:val="008066FF"/>
    <w:rsid w:val="00806766"/>
    <w:rsid w:val="0080680B"/>
    <w:rsid w:val="00806B0B"/>
    <w:rsid w:val="00806C43"/>
    <w:rsid w:val="00806E4B"/>
    <w:rsid w:val="00806FAB"/>
    <w:rsid w:val="00806FD1"/>
    <w:rsid w:val="00807393"/>
    <w:rsid w:val="008073D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0FD"/>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41"/>
    <w:rsid w:val="00814DF0"/>
    <w:rsid w:val="00815167"/>
    <w:rsid w:val="008153AE"/>
    <w:rsid w:val="008156D1"/>
    <w:rsid w:val="0081581E"/>
    <w:rsid w:val="00815837"/>
    <w:rsid w:val="00815AA5"/>
    <w:rsid w:val="008162FA"/>
    <w:rsid w:val="0081631C"/>
    <w:rsid w:val="00816898"/>
    <w:rsid w:val="008168B3"/>
    <w:rsid w:val="00816A6F"/>
    <w:rsid w:val="00816ADB"/>
    <w:rsid w:val="008173CC"/>
    <w:rsid w:val="00817881"/>
    <w:rsid w:val="00820879"/>
    <w:rsid w:val="008208FE"/>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B6"/>
    <w:rsid w:val="008341D8"/>
    <w:rsid w:val="0083429A"/>
    <w:rsid w:val="008343C1"/>
    <w:rsid w:val="0083448A"/>
    <w:rsid w:val="00834534"/>
    <w:rsid w:val="008347DD"/>
    <w:rsid w:val="0083481E"/>
    <w:rsid w:val="00834883"/>
    <w:rsid w:val="008349EE"/>
    <w:rsid w:val="00834A62"/>
    <w:rsid w:val="00834E66"/>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4B5"/>
    <w:rsid w:val="008415A0"/>
    <w:rsid w:val="00841626"/>
    <w:rsid w:val="008416C7"/>
    <w:rsid w:val="00841C09"/>
    <w:rsid w:val="00841E16"/>
    <w:rsid w:val="00841F9C"/>
    <w:rsid w:val="0084213A"/>
    <w:rsid w:val="00842363"/>
    <w:rsid w:val="008423F5"/>
    <w:rsid w:val="00842B06"/>
    <w:rsid w:val="00842C5F"/>
    <w:rsid w:val="00842FAE"/>
    <w:rsid w:val="00842FDC"/>
    <w:rsid w:val="0084311D"/>
    <w:rsid w:val="0084315C"/>
    <w:rsid w:val="0084352A"/>
    <w:rsid w:val="0084357F"/>
    <w:rsid w:val="008436A1"/>
    <w:rsid w:val="008438FF"/>
    <w:rsid w:val="00843AAB"/>
    <w:rsid w:val="0084408F"/>
    <w:rsid w:val="00844197"/>
    <w:rsid w:val="00844251"/>
    <w:rsid w:val="00844578"/>
    <w:rsid w:val="00844923"/>
    <w:rsid w:val="008449B0"/>
    <w:rsid w:val="00844BB1"/>
    <w:rsid w:val="00844F20"/>
    <w:rsid w:val="00845106"/>
    <w:rsid w:val="0084511E"/>
    <w:rsid w:val="0084512C"/>
    <w:rsid w:val="00845395"/>
    <w:rsid w:val="008455E4"/>
    <w:rsid w:val="00845820"/>
    <w:rsid w:val="00845BD8"/>
    <w:rsid w:val="00845EB6"/>
    <w:rsid w:val="008465B9"/>
    <w:rsid w:val="0084676F"/>
    <w:rsid w:val="008469E1"/>
    <w:rsid w:val="00846DF8"/>
    <w:rsid w:val="0084749E"/>
    <w:rsid w:val="008474D9"/>
    <w:rsid w:val="008476F8"/>
    <w:rsid w:val="008476FB"/>
    <w:rsid w:val="00847913"/>
    <w:rsid w:val="008479B1"/>
    <w:rsid w:val="00847F25"/>
    <w:rsid w:val="00847FF3"/>
    <w:rsid w:val="008502DA"/>
    <w:rsid w:val="008502EF"/>
    <w:rsid w:val="0085069A"/>
    <w:rsid w:val="00850998"/>
    <w:rsid w:val="00850D2B"/>
    <w:rsid w:val="00850F67"/>
    <w:rsid w:val="00851185"/>
    <w:rsid w:val="0085131B"/>
    <w:rsid w:val="00851A6E"/>
    <w:rsid w:val="00851BDC"/>
    <w:rsid w:val="00851D58"/>
    <w:rsid w:val="00851F79"/>
    <w:rsid w:val="00851FFC"/>
    <w:rsid w:val="0085201A"/>
    <w:rsid w:val="008524CA"/>
    <w:rsid w:val="0085254E"/>
    <w:rsid w:val="0085276D"/>
    <w:rsid w:val="00852A06"/>
    <w:rsid w:val="00852D6D"/>
    <w:rsid w:val="008530D7"/>
    <w:rsid w:val="0085349D"/>
    <w:rsid w:val="008534BD"/>
    <w:rsid w:val="008536DA"/>
    <w:rsid w:val="0085392E"/>
    <w:rsid w:val="00853AA3"/>
    <w:rsid w:val="00854055"/>
    <w:rsid w:val="008540B2"/>
    <w:rsid w:val="008545C6"/>
    <w:rsid w:val="00854A52"/>
    <w:rsid w:val="00854B5C"/>
    <w:rsid w:val="00855616"/>
    <w:rsid w:val="008558CC"/>
    <w:rsid w:val="00855AF6"/>
    <w:rsid w:val="00855F5F"/>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580"/>
    <w:rsid w:val="0086176F"/>
    <w:rsid w:val="008617C0"/>
    <w:rsid w:val="00861836"/>
    <w:rsid w:val="0086199A"/>
    <w:rsid w:val="00862155"/>
    <w:rsid w:val="008621C6"/>
    <w:rsid w:val="008625F9"/>
    <w:rsid w:val="008627E1"/>
    <w:rsid w:val="008629C5"/>
    <w:rsid w:val="00862F19"/>
    <w:rsid w:val="00863044"/>
    <w:rsid w:val="0086310B"/>
    <w:rsid w:val="008631E3"/>
    <w:rsid w:val="00863496"/>
    <w:rsid w:val="00863825"/>
    <w:rsid w:val="0086384E"/>
    <w:rsid w:val="00863C40"/>
    <w:rsid w:val="00863DFE"/>
    <w:rsid w:val="00863E6C"/>
    <w:rsid w:val="00863EE2"/>
    <w:rsid w:val="00863FD3"/>
    <w:rsid w:val="00864359"/>
    <w:rsid w:val="0086479A"/>
    <w:rsid w:val="008647F3"/>
    <w:rsid w:val="0086487E"/>
    <w:rsid w:val="00864CBC"/>
    <w:rsid w:val="00865190"/>
    <w:rsid w:val="00865282"/>
    <w:rsid w:val="008654C3"/>
    <w:rsid w:val="00865AA0"/>
    <w:rsid w:val="00865B0E"/>
    <w:rsid w:val="00865B46"/>
    <w:rsid w:val="00865B8B"/>
    <w:rsid w:val="00865E71"/>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67FEB"/>
    <w:rsid w:val="00870095"/>
    <w:rsid w:val="0087026D"/>
    <w:rsid w:val="0087045C"/>
    <w:rsid w:val="008708C4"/>
    <w:rsid w:val="00870930"/>
    <w:rsid w:val="00870B5F"/>
    <w:rsid w:val="00871267"/>
    <w:rsid w:val="008714BE"/>
    <w:rsid w:val="00871867"/>
    <w:rsid w:val="0087196D"/>
    <w:rsid w:val="00871A7A"/>
    <w:rsid w:val="008728F9"/>
    <w:rsid w:val="00872ABC"/>
    <w:rsid w:val="00872D1A"/>
    <w:rsid w:val="00872DE7"/>
    <w:rsid w:val="00872E54"/>
    <w:rsid w:val="00872E80"/>
    <w:rsid w:val="00872EBE"/>
    <w:rsid w:val="00872EFF"/>
    <w:rsid w:val="0087319E"/>
    <w:rsid w:val="008734F5"/>
    <w:rsid w:val="00873CAB"/>
    <w:rsid w:val="00873CB1"/>
    <w:rsid w:val="00874091"/>
    <w:rsid w:val="00874162"/>
    <w:rsid w:val="0087425D"/>
    <w:rsid w:val="008743DE"/>
    <w:rsid w:val="008746DE"/>
    <w:rsid w:val="008749FA"/>
    <w:rsid w:val="00874A61"/>
    <w:rsid w:val="00874ED4"/>
    <w:rsid w:val="00874F11"/>
    <w:rsid w:val="00875141"/>
    <w:rsid w:val="008751E6"/>
    <w:rsid w:val="0087531E"/>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B34"/>
    <w:rsid w:val="00881E4E"/>
    <w:rsid w:val="00882249"/>
    <w:rsid w:val="008826F4"/>
    <w:rsid w:val="00882A24"/>
    <w:rsid w:val="00882B9B"/>
    <w:rsid w:val="00882D3D"/>
    <w:rsid w:val="008830E1"/>
    <w:rsid w:val="008832B4"/>
    <w:rsid w:val="00883487"/>
    <w:rsid w:val="0088355F"/>
    <w:rsid w:val="00883669"/>
    <w:rsid w:val="00883980"/>
    <w:rsid w:val="00883A06"/>
    <w:rsid w:val="00883A44"/>
    <w:rsid w:val="00883B15"/>
    <w:rsid w:val="00883B5C"/>
    <w:rsid w:val="00883CF0"/>
    <w:rsid w:val="00883EFC"/>
    <w:rsid w:val="008840AA"/>
    <w:rsid w:val="00884547"/>
    <w:rsid w:val="00884A54"/>
    <w:rsid w:val="00884AA0"/>
    <w:rsid w:val="00884B75"/>
    <w:rsid w:val="00885074"/>
    <w:rsid w:val="00885255"/>
    <w:rsid w:val="0088542B"/>
    <w:rsid w:val="008859EB"/>
    <w:rsid w:val="00885AC1"/>
    <w:rsid w:val="00885BB6"/>
    <w:rsid w:val="00885CCF"/>
    <w:rsid w:val="008861F5"/>
    <w:rsid w:val="008867BB"/>
    <w:rsid w:val="00886AC7"/>
    <w:rsid w:val="00886AE4"/>
    <w:rsid w:val="00886C1E"/>
    <w:rsid w:val="00886D06"/>
    <w:rsid w:val="00887200"/>
    <w:rsid w:val="0088728A"/>
    <w:rsid w:val="00887373"/>
    <w:rsid w:val="008873B5"/>
    <w:rsid w:val="008876D9"/>
    <w:rsid w:val="00887A6F"/>
    <w:rsid w:val="00887ED3"/>
    <w:rsid w:val="008900EB"/>
    <w:rsid w:val="008900F7"/>
    <w:rsid w:val="00890230"/>
    <w:rsid w:val="0089023F"/>
    <w:rsid w:val="00890253"/>
    <w:rsid w:val="00890304"/>
    <w:rsid w:val="008909D6"/>
    <w:rsid w:val="00890AB0"/>
    <w:rsid w:val="00890BD7"/>
    <w:rsid w:val="00890D0A"/>
    <w:rsid w:val="0089106B"/>
    <w:rsid w:val="00891487"/>
    <w:rsid w:val="00891495"/>
    <w:rsid w:val="00891B06"/>
    <w:rsid w:val="00891BAE"/>
    <w:rsid w:val="00891F54"/>
    <w:rsid w:val="008923BC"/>
    <w:rsid w:val="008927D9"/>
    <w:rsid w:val="008928CD"/>
    <w:rsid w:val="00892B01"/>
    <w:rsid w:val="00892C3E"/>
    <w:rsid w:val="00892CCE"/>
    <w:rsid w:val="00892F75"/>
    <w:rsid w:val="0089355D"/>
    <w:rsid w:val="00893622"/>
    <w:rsid w:val="0089389B"/>
    <w:rsid w:val="00893C90"/>
    <w:rsid w:val="00893E9F"/>
    <w:rsid w:val="00894548"/>
    <w:rsid w:val="00894948"/>
    <w:rsid w:val="00894F22"/>
    <w:rsid w:val="0089534A"/>
    <w:rsid w:val="00895389"/>
    <w:rsid w:val="00895CD6"/>
    <w:rsid w:val="008963F4"/>
    <w:rsid w:val="00896415"/>
    <w:rsid w:val="00896D9D"/>
    <w:rsid w:val="00896F84"/>
    <w:rsid w:val="00897033"/>
    <w:rsid w:val="008974C9"/>
    <w:rsid w:val="00897580"/>
    <w:rsid w:val="00897754"/>
    <w:rsid w:val="0089786E"/>
    <w:rsid w:val="0089794D"/>
    <w:rsid w:val="00897D1E"/>
    <w:rsid w:val="00897DDC"/>
    <w:rsid w:val="00897E04"/>
    <w:rsid w:val="008A0071"/>
    <w:rsid w:val="008A0250"/>
    <w:rsid w:val="008A0285"/>
    <w:rsid w:val="008A02AD"/>
    <w:rsid w:val="008A088A"/>
    <w:rsid w:val="008A09CC"/>
    <w:rsid w:val="008A0FEC"/>
    <w:rsid w:val="008A1153"/>
    <w:rsid w:val="008A14F1"/>
    <w:rsid w:val="008A1635"/>
    <w:rsid w:val="008A291C"/>
    <w:rsid w:val="008A2C2B"/>
    <w:rsid w:val="008A2EA5"/>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8E6"/>
    <w:rsid w:val="008A5B35"/>
    <w:rsid w:val="008A5CFE"/>
    <w:rsid w:val="008A6219"/>
    <w:rsid w:val="008A622F"/>
    <w:rsid w:val="008A6369"/>
    <w:rsid w:val="008A63EE"/>
    <w:rsid w:val="008A6731"/>
    <w:rsid w:val="008A6A4C"/>
    <w:rsid w:val="008A6B71"/>
    <w:rsid w:val="008A6E80"/>
    <w:rsid w:val="008A6F34"/>
    <w:rsid w:val="008A732F"/>
    <w:rsid w:val="008A7739"/>
    <w:rsid w:val="008A797F"/>
    <w:rsid w:val="008A7B13"/>
    <w:rsid w:val="008A7DBB"/>
    <w:rsid w:val="008A7F6F"/>
    <w:rsid w:val="008B0047"/>
    <w:rsid w:val="008B01A6"/>
    <w:rsid w:val="008B047F"/>
    <w:rsid w:val="008B071C"/>
    <w:rsid w:val="008B09EE"/>
    <w:rsid w:val="008B1043"/>
    <w:rsid w:val="008B1130"/>
    <w:rsid w:val="008B1578"/>
    <w:rsid w:val="008B18CE"/>
    <w:rsid w:val="008B1B90"/>
    <w:rsid w:val="008B2017"/>
    <w:rsid w:val="008B20B2"/>
    <w:rsid w:val="008B2509"/>
    <w:rsid w:val="008B269F"/>
    <w:rsid w:val="008B2DBB"/>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12C"/>
    <w:rsid w:val="008B62F4"/>
    <w:rsid w:val="008B64CE"/>
    <w:rsid w:val="008B64E8"/>
    <w:rsid w:val="008B6550"/>
    <w:rsid w:val="008B6A10"/>
    <w:rsid w:val="008B6B69"/>
    <w:rsid w:val="008B6CF0"/>
    <w:rsid w:val="008B6D11"/>
    <w:rsid w:val="008B6EF4"/>
    <w:rsid w:val="008B70FE"/>
    <w:rsid w:val="008B713B"/>
    <w:rsid w:val="008B7142"/>
    <w:rsid w:val="008B7631"/>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5CC"/>
    <w:rsid w:val="008C28C2"/>
    <w:rsid w:val="008C28C7"/>
    <w:rsid w:val="008C2CBA"/>
    <w:rsid w:val="008C2D29"/>
    <w:rsid w:val="008C2D99"/>
    <w:rsid w:val="008C3081"/>
    <w:rsid w:val="008C30BC"/>
    <w:rsid w:val="008C3279"/>
    <w:rsid w:val="008C33B6"/>
    <w:rsid w:val="008C34CF"/>
    <w:rsid w:val="008C3562"/>
    <w:rsid w:val="008C3D15"/>
    <w:rsid w:val="008C3FF6"/>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62"/>
    <w:rsid w:val="008C7687"/>
    <w:rsid w:val="008C76D0"/>
    <w:rsid w:val="008C77DE"/>
    <w:rsid w:val="008C78DF"/>
    <w:rsid w:val="008C7D55"/>
    <w:rsid w:val="008C7F10"/>
    <w:rsid w:val="008C7F4D"/>
    <w:rsid w:val="008D0005"/>
    <w:rsid w:val="008D0370"/>
    <w:rsid w:val="008D0688"/>
    <w:rsid w:val="008D1135"/>
    <w:rsid w:val="008D13A9"/>
    <w:rsid w:val="008D1464"/>
    <w:rsid w:val="008D14B3"/>
    <w:rsid w:val="008D1964"/>
    <w:rsid w:val="008D1CA0"/>
    <w:rsid w:val="008D1E90"/>
    <w:rsid w:val="008D1EF7"/>
    <w:rsid w:val="008D276E"/>
    <w:rsid w:val="008D2E32"/>
    <w:rsid w:val="008D2E74"/>
    <w:rsid w:val="008D3174"/>
    <w:rsid w:val="008D35CD"/>
    <w:rsid w:val="008D36D4"/>
    <w:rsid w:val="008D3D3A"/>
    <w:rsid w:val="008D3D76"/>
    <w:rsid w:val="008D44F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538"/>
    <w:rsid w:val="008E2459"/>
    <w:rsid w:val="008E2498"/>
    <w:rsid w:val="008E2600"/>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3F8"/>
    <w:rsid w:val="008E6954"/>
    <w:rsid w:val="008E6A1E"/>
    <w:rsid w:val="008E6B2B"/>
    <w:rsid w:val="008E6BAB"/>
    <w:rsid w:val="008E6CB7"/>
    <w:rsid w:val="008E6FD3"/>
    <w:rsid w:val="008E7159"/>
    <w:rsid w:val="008E7287"/>
    <w:rsid w:val="008E793F"/>
    <w:rsid w:val="008E7DFA"/>
    <w:rsid w:val="008E7E38"/>
    <w:rsid w:val="008F0296"/>
    <w:rsid w:val="008F081C"/>
    <w:rsid w:val="008F110C"/>
    <w:rsid w:val="008F11C6"/>
    <w:rsid w:val="008F137A"/>
    <w:rsid w:val="008F1A87"/>
    <w:rsid w:val="008F22FA"/>
    <w:rsid w:val="008F2545"/>
    <w:rsid w:val="008F25C7"/>
    <w:rsid w:val="008F2817"/>
    <w:rsid w:val="008F2A83"/>
    <w:rsid w:val="008F3218"/>
    <w:rsid w:val="008F3613"/>
    <w:rsid w:val="008F38FB"/>
    <w:rsid w:val="008F397D"/>
    <w:rsid w:val="008F3BCB"/>
    <w:rsid w:val="008F3C50"/>
    <w:rsid w:val="008F437C"/>
    <w:rsid w:val="008F4541"/>
    <w:rsid w:val="008F4652"/>
    <w:rsid w:val="008F477F"/>
    <w:rsid w:val="008F4B60"/>
    <w:rsid w:val="008F4C44"/>
    <w:rsid w:val="008F4C54"/>
    <w:rsid w:val="008F4E3F"/>
    <w:rsid w:val="008F504D"/>
    <w:rsid w:val="008F5605"/>
    <w:rsid w:val="008F563E"/>
    <w:rsid w:val="008F5875"/>
    <w:rsid w:val="008F591D"/>
    <w:rsid w:val="008F5938"/>
    <w:rsid w:val="008F5B2A"/>
    <w:rsid w:val="008F5B48"/>
    <w:rsid w:val="008F5BFA"/>
    <w:rsid w:val="008F5ED5"/>
    <w:rsid w:val="008F6908"/>
    <w:rsid w:val="008F694A"/>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6C2"/>
    <w:rsid w:val="009029CB"/>
    <w:rsid w:val="0090302D"/>
    <w:rsid w:val="00903079"/>
    <w:rsid w:val="009031AC"/>
    <w:rsid w:val="00903896"/>
    <w:rsid w:val="00903A52"/>
    <w:rsid w:val="00903E54"/>
    <w:rsid w:val="009040E6"/>
    <w:rsid w:val="00904164"/>
    <w:rsid w:val="009042D3"/>
    <w:rsid w:val="009044C2"/>
    <w:rsid w:val="0090482B"/>
    <w:rsid w:val="009048AA"/>
    <w:rsid w:val="00904A93"/>
    <w:rsid w:val="00904D2F"/>
    <w:rsid w:val="00905060"/>
    <w:rsid w:val="0090517C"/>
    <w:rsid w:val="0090550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918"/>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B37"/>
    <w:rsid w:val="00912D26"/>
    <w:rsid w:val="00912F4C"/>
    <w:rsid w:val="00913614"/>
    <w:rsid w:val="009136B7"/>
    <w:rsid w:val="00913714"/>
    <w:rsid w:val="009137FC"/>
    <w:rsid w:val="00913977"/>
    <w:rsid w:val="00913C63"/>
    <w:rsid w:val="00913ED8"/>
    <w:rsid w:val="00913FA0"/>
    <w:rsid w:val="00914077"/>
    <w:rsid w:val="00914203"/>
    <w:rsid w:val="00914488"/>
    <w:rsid w:val="00914598"/>
    <w:rsid w:val="00914BF1"/>
    <w:rsid w:val="009150C1"/>
    <w:rsid w:val="00915251"/>
    <w:rsid w:val="009154A0"/>
    <w:rsid w:val="00915930"/>
    <w:rsid w:val="00915FD8"/>
    <w:rsid w:val="009163F2"/>
    <w:rsid w:val="00916564"/>
    <w:rsid w:val="00916A6B"/>
    <w:rsid w:val="00916A92"/>
    <w:rsid w:val="00916E43"/>
    <w:rsid w:val="009173E0"/>
    <w:rsid w:val="0091757D"/>
    <w:rsid w:val="0091760A"/>
    <w:rsid w:val="0091787D"/>
    <w:rsid w:val="00917F6F"/>
    <w:rsid w:val="0092003A"/>
    <w:rsid w:val="009204A0"/>
    <w:rsid w:val="009204CF"/>
    <w:rsid w:val="00920531"/>
    <w:rsid w:val="00920BE1"/>
    <w:rsid w:val="00920CE8"/>
    <w:rsid w:val="00920D05"/>
    <w:rsid w:val="009211F2"/>
    <w:rsid w:val="0092150F"/>
    <w:rsid w:val="009218EC"/>
    <w:rsid w:val="00921BE7"/>
    <w:rsid w:val="00921D03"/>
    <w:rsid w:val="00921F56"/>
    <w:rsid w:val="0092213E"/>
    <w:rsid w:val="00922180"/>
    <w:rsid w:val="0092230C"/>
    <w:rsid w:val="0092275A"/>
    <w:rsid w:val="009228DD"/>
    <w:rsid w:val="0092298A"/>
    <w:rsid w:val="00922F09"/>
    <w:rsid w:val="0092308F"/>
    <w:rsid w:val="009231C2"/>
    <w:rsid w:val="00923245"/>
    <w:rsid w:val="00923922"/>
    <w:rsid w:val="00923990"/>
    <w:rsid w:val="0092428F"/>
    <w:rsid w:val="009242BD"/>
    <w:rsid w:val="00924318"/>
    <w:rsid w:val="00924551"/>
    <w:rsid w:val="009248F6"/>
    <w:rsid w:val="00924933"/>
    <w:rsid w:val="00924A8A"/>
    <w:rsid w:val="00924A98"/>
    <w:rsid w:val="00924C70"/>
    <w:rsid w:val="00924D2E"/>
    <w:rsid w:val="00924F8C"/>
    <w:rsid w:val="00924FBE"/>
    <w:rsid w:val="009250C9"/>
    <w:rsid w:val="0092533D"/>
    <w:rsid w:val="0092560D"/>
    <w:rsid w:val="00925731"/>
    <w:rsid w:val="00925757"/>
    <w:rsid w:val="00925867"/>
    <w:rsid w:val="00925DD5"/>
    <w:rsid w:val="00925F5A"/>
    <w:rsid w:val="009261C3"/>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79D"/>
    <w:rsid w:val="00930894"/>
    <w:rsid w:val="009308F4"/>
    <w:rsid w:val="00930959"/>
    <w:rsid w:val="00930A51"/>
    <w:rsid w:val="00930A52"/>
    <w:rsid w:val="00930A70"/>
    <w:rsid w:val="00930C05"/>
    <w:rsid w:val="00930D5D"/>
    <w:rsid w:val="00930F3B"/>
    <w:rsid w:val="009311CB"/>
    <w:rsid w:val="009314BC"/>
    <w:rsid w:val="00931A98"/>
    <w:rsid w:val="009321E6"/>
    <w:rsid w:val="0093234D"/>
    <w:rsid w:val="00932CE6"/>
    <w:rsid w:val="00932EDA"/>
    <w:rsid w:val="0093336C"/>
    <w:rsid w:val="009333BB"/>
    <w:rsid w:val="009334D3"/>
    <w:rsid w:val="009335CA"/>
    <w:rsid w:val="00933951"/>
    <w:rsid w:val="0093408C"/>
    <w:rsid w:val="00934112"/>
    <w:rsid w:val="00934469"/>
    <w:rsid w:val="00934643"/>
    <w:rsid w:val="00934780"/>
    <w:rsid w:val="009348A1"/>
    <w:rsid w:val="00934B99"/>
    <w:rsid w:val="00934E97"/>
    <w:rsid w:val="00934ED1"/>
    <w:rsid w:val="00935493"/>
    <w:rsid w:val="009354E5"/>
    <w:rsid w:val="009355FA"/>
    <w:rsid w:val="009356A2"/>
    <w:rsid w:val="00935796"/>
    <w:rsid w:val="00935AF2"/>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CF"/>
    <w:rsid w:val="009402DD"/>
    <w:rsid w:val="00940600"/>
    <w:rsid w:val="00940B2C"/>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3A8B"/>
    <w:rsid w:val="00943ADB"/>
    <w:rsid w:val="0094436B"/>
    <w:rsid w:val="0094481F"/>
    <w:rsid w:val="00944BCB"/>
    <w:rsid w:val="00944F41"/>
    <w:rsid w:val="009450C9"/>
    <w:rsid w:val="0094537F"/>
    <w:rsid w:val="0094539E"/>
    <w:rsid w:val="009453B7"/>
    <w:rsid w:val="009454F2"/>
    <w:rsid w:val="00945823"/>
    <w:rsid w:val="00945833"/>
    <w:rsid w:val="00945D36"/>
    <w:rsid w:val="00945FC0"/>
    <w:rsid w:val="009462B8"/>
    <w:rsid w:val="009463E2"/>
    <w:rsid w:val="009464C8"/>
    <w:rsid w:val="009465CB"/>
    <w:rsid w:val="009468C6"/>
    <w:rsid w:val="00946B9E"/>
    <w:rsid w:val="00946C8E"/>
    <w:rsid w:val="00946E65"/>
    <w:rsid w:val="00947374"/>
    <w:rsid w:val="00947469"/>
    <w:rsid w:val="00947D4F"/>
    <w:rsid w:val="00947F1C"/>
    <w:rsid w:val="00950041"/>
    <w:rsid w:val="009509FD"/>
    <w:rsid w:val="00950A76"/>
    <w:rsid w:val="00950B0E"/>
    <w:rsid w:val="00950C0B"/>
    <w:rsid w:val="00950CE7"/>
    <w:rsid w:val="009518AB"/>
    <w:rsid w:val="00951931"/>
    <w:rsid w:val="009519F1"/>
    <w:rsid w:val="00951AE4"/>
    <w:rsid w:val="00951E22"/>
    <w:rsid w:val="009520DF"/>
    <w:rsid w:val="00952885"/>
    <w:rsid w:val="00952CA4"/>
    <w:rsid w:val="00953349"/>
    <w:rsid w:val="00953492"/>
    <w:rsid w:val="00953AF3"/>
    <w:rsid w:val="00954A06"/>
    <w:rsid w:val="00954B9B"/>
    <w:rsid w:val="00954EC2"/>
    <w:rsid w:val="00955481"/>
    <w:rsid w:val="0095556F"/>
    <w:rsid w:val="00955679"/>
    <w:rsid w:val="00955852"/>
    <w:rsid w:val="00955916"/>
    <w:rsid w:val="0095623C"/>
    <w:rsid w:val="009567F9"/>
    <w:rsid w:val="00956846"/>
    <w:rsid w:val="009568B9"/>
    <w:rsid w:val="00956C78"/>
    <w:rsid w:val="00956CDF"/>
    <w:rsid w:val="00956D70"/>
    <w:rsid w:val="009572D6"/>
    <w:rsid w:val="00957527"/>
    <w:rsid w:val="009575E6"/>
    <w:rsid w:val="00957839"/>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4"/>
    <w:rsid w:val="0096404B"/>
    <w:rsid w:val="009640E4"/>
    <w:rsid w:val="00964126"/>
    <w:rsid w:val="00964425"/>
    <w:rsid w:val="0096446E"/>
    <w:rsid w:val="00964763"/>
    <w:rsid w:val="00964D2B"/>
    <w:rsid w:val="00964D83"/>
    <w:rsid w:val="0096513E"/>
    <w:rsid w:val="00965286"/>
    <w:rsid w:val="009656D8"/>
    <w:rsid w:val="0096591F"/>
    <w:rsid w:val="009659B5"/>
    <w:rsid w:val="009659E8"/>
    <w:rsid w:val="00965C5D"/>
    <w:rsid w:val="00965E56"/>
    <w:rsid w:val="00965F20"/>
    <w:rsid w:val="0096617D"/>
    <w:rsid w:val="00966232"/>
    <w:rsid w:val="009664C7"/>
    <w:rsid w:val="009665E0"/>
    <w:rsid w:val="009667B6"/>
    <w:rsid w:val="0096680F"/>
    <w:rsid w:val="009676E3"/>
    <w:rsid w:val="00967853"/>
    <w:rsid w:val="00967978"/>
    <w:rsid w:val="00967A6F"/>
    <w:rsid w:val="00967BA3"/>
    <w:rsid w:val="0097016F"/>
    <w:rsid w:val="0097047F"/>
    <w:rsid w:val="0097071C"/>
    <w:rsid w:val="00970970"/>
    <w:rsid w:val="00970A7F"/>
    <w:rsid w:val="00970BD6"/>
    <w:rsid w:val="00970BE4"/>
    <w:rsid w:val="00970ECC"/>
    <w:rsid w:val="00970F83"/>
    <w:rsid w:val="00971042"/>
    <w:rsid w:val="0097124F"/>
    <w:rsid w:val="0097188F"/>
    <w:rsid w:val="00971A07"/>
    <w:rsid w:val="00971DB8"/>
    <w:rsid w:val="00972322"/>
    <w:rsid w:val="009723FC"/>
    <w:rsid w:val="009725D7"/>
    <w:rsid w:val="0097262E"/>
    <w:rsid w:val="00972944"/>
    <w:rsid w:val="00972D3E"/>
    <w:rsid w:val="009732AB"/>
    <w:rsid w:val="009735B2"/>
    <w:rsid w:val="00973FDA"/>
    <w:rsid w:val="00974113"/>
    <w:rsid w:val="009742CC"/>
    <w:rsid w:val="00974BF5"/>
    <w:rsid w:val="0097576A"/>
    <w:rsid w:val="00975A62"/>
    <w:rsid w:val="0097666D"/>
    <w:rsid w:val="00976DAC"/>
    <w:rsid w:val="00976F5C"/>
    <w:rsid w:val="0097763C"/>
    <w:rsid w:val="0097793E"/>
    <w:rsid w:val="00977AFD"/>
    <w:rsid w:val="00977D86"/>
    <w:rsid w:val="00977DB3"/>
    <w:rsid w:val="00980FD5"/>
    <w:rsid w:val="00981213"/>
    <w:rsid w:val="009814BA"/>
    <w:rsid w:val="0098183B"/>
    <w:rsid w:val="00981A7C"/>
    <w:rsid w:val="00981B3B"/>
    <w:rsid w:val="00981D62"/>
    <w:rsid w:val="00981DF3"/>
    <w:rsid w:val="00982786"/>
    <w:rsid w:val="00982921"/>
    <w:rsid w:val="00982AAE"/>
    <w:rsid w:val="00982BE2"/>
    <w:rsid w:val="00982C3A"/>
    <w:rsid w:val="00982CFE"/>
    <w:rsid w:val="00982D84"/>
    <w:rsid w:val="00983202"/>
    <w:rsid w:val="009832C1"/>
    <w:rsid w:val="0098356C"/>
    <w:rsid w:val="009838F1"/>
    <w:rsid w:val="00983A4F"/>
    <w:rsid w:val="00983BD4"/>
    <w:rsid w:val="00983D13"/>
    <w:rsid w:val="0098445B"/>
    <w:rsid w:val="009844D5"/>
    <w:rsid w:val="009845A3"/>
    <w:rsid w:val="00984804"/>
    <w:rsid w:val="00984C26"/>
    <w:rsid w:val="00984CC3"/>
    <w:rsid w:val="0098510C"/>
    <w:rsid w:val="0098525B"/>
    <w:rsid w:val="009856B9"/>
    <w:rsid w:val="00985717"/>
    <w:rsid w:val="00985770"/>
    <w:rsid w:val="009857D5"/>
    <w:rsid w:val="009858A0"/>
    <w:rsid w:val="0098593C"/>
    <w:rsid w:val="00985A95"/>
    <w:rsid w:val="00985D75"/>
    <w:rsid w:val="00985E11"/>
    <w:rsid w:val="00986615"/>
    <w:rsid w:val="00986AB1"/>
    <w:rsid w:val="00986BDD"/>
    <w:rsid w:val="00986D96"/>
    <w:rsid w:val="0098731D"/>
    <w:rsid w:val="009873B4"/>
    <w:rsid w:val="00987490"/>
    <w:rsid w:val="009875C1"/>
    <w:rsid w:val="009900C7"/>
    <w:rsid w:val="009900D9"/>
    <w:rsid w:val="00990328"/>
    <w:rsid w:val="009903AF"/>
    <w:rsid w:val="0099046B"/>
    <w:rsid w:val="0099071A"/>
    <w:rsid w:val="0099083A"/>
    <w:rsid w:val="00991116"/>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337"/>
    <w:rsid w:val="009937F7"/>
    <w:rsid w:val="00993870"/>
    <w:rsid w:val="009939D8"/>
    <w:rsid w:val="00993E62"/>
    <w:rsid w:val="00994642"/>
    <w:rsid w:val="0099467D"/>
    <w:rsid w:val="00994811"/>
    <w:rsid w:val="00994A3E"/>
    <w:rsid w:val="009953C2"/>
    <w:rsid w:val="00995586"/>
    <w:rsid w:val="0099599D"/>
    <w:rsid w:val="00995D42"/>
    <w:rsid w:val="0099611D"/>
    <w:rsid w:val="009966DC"/>
    <w:rsid w:val="009968BB"/>
    <w:rsid w:val="00996B66"/>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0E6F"/>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616"/>
    <w:rsid w:val="009A38D8"/>
    <w:rsid w:val="009A39E3"/>
    <w:rsid w:val="009A3DCE"/>
    <w:rsid w:val="009A3E94"/>
    <w:rsid w:val="009A3FD7"/>
    <w:rsid w:val="009A403B"/>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A12"/>
    <w:rsid w:val="009B1B5A"/>
    <w:rsid w:val="009B1E85"/>
    <w:rsid w:val="009B1F0E"/>
    <w:rsid w:val="009B1F99"/>
    <w:rsid w:val="009B260A"/>
    <w:rsid w:val="009B2875"/>
    <w:rsid w:val="009B28B3"/>
    <w:rsid w:val="009B2AF9"/>
    <w:rsid w:val="009B2D4D"/>
    <w:rsid w:val="009B2E90"/>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136"/>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11C0"/>
    <w:rsid w:val="009C1262"/>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8F"/>
    <w:rsid w:val="009C4985"/>
    <w:rsid w:val="009C4A36"/>
    <w:rsid w:val="009C4D99"/>
    <w:rsid w:val="009C519E"/>
    <w:rsid w:val="009C52CB"/>
    <w:rsid w:val="009C5587"/>
    <w:rsid w:val="009C5685"/>
    <w:rsid w:val="009C57CA"/>
    <w:rsid w:val="009C58B4"/>
    <w:rsid w:val="009C5957"/>
    <w:rsid w:val="009C59B3"/>
    <w:rsid w:val="009C5A97"/>
    <w:rsid w:val="009C5C84"/>
    <w:rsid w:val="009C5F02"/>
    <w:rsid w:val="009C6665"/>
    <w:rsid w:val="009C6A3A"/>
    <w:rsid w:val="009C6A67"/>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214A"/>
    <w:rsid w:val="009D2195"/>
    <w:rsid w:val="009D2277"/>
    <w:rsid w:val="009D2420"/>
    <w:rsid w:val="009D2535"/>
    <w:rsid w:val="009D2576"/>
    <w:rsid w:val="009D26DF"/>
    <w:rsid w:val="009D301C"/>
    <w:rsid w:val="009D31BB"/>
    <w:rsid w:val="009D33B2"/>
    <w:rsid w:val="009D3493"/>
    <w:rsid w:val="009D3526"/>
    <w:rsid w:val="009D3654"/>
    <w:rsid w:val="009D3EF2"/>
    <w:rsid w:val="009D4816"/>
    <w:rsid w:val="009D48DA"/>
    <w:rsid w:val="009D4E77"/>
    <w:rsid w:val="009D51CD"/>
    <w:rsid w:val="009D5453"/>
    <w:rsid w:val="009D57A6"/>
    <w:rsid w:val="009D5870"/>
    <w:rsid w:val="009D5B40"/>
    <w:rsid w:val="009D5ED6"/>
    <w:rsid w:val="009D60EF"/>
    <w:rsid w:val="009D612A"/>
    <w:rsid w:val="009D668B"/>
    <w:rsid w:val="009D66E2"/>
    <w:rsid w:val="009D6BEC"/>
    <w:rsid w:val="009D70A9"/>
    <w:rsid w:val="009D710A"/>
    <w:rsid w:val="009D75B8"/>
    <w:rsid w:val="009E00FD"/>
    <w:rsid w:val="009E07C2"/>
    <w:rsid w:val="009E0892"/>
    <w:rsid w:val="009E0ABC"/>
    <w:rsid w:val="009E0EED"/>
    <w:rsid w:val="009E0FD8"/>
    <w:rsid w:val="009E175A"/>
    <w:rsid w:val="009E222A"/>
    <w:rsid w:val="009E2269"/>
    <w:rsid w:val="009E275C"/>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728"/>
    <w:rsid w:val="009E589C"/>
    <w:rsid w:val="009E5B6D"/>
    <w:rsid w:val="009E63D2"/>
    <w:rsid w:val="009E66EC"/>
    <w:rsid w:val="009E6951"/>
    <w:rsid w:val="009E6B66"/>
    <w:rsid w:val="009E6B8C"/>
    <w:rsid w:val="009E6BD8"/>
    <w:rsid w:val="009E6D32"/>
    <w:rsid w:val="009E6D81"/>
    <w:rsid w:val="009E70C8"/>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2FC"/>
    <w:rsid w:val="009F34C3"/>
    <w:rsid w:val="009F36C9"/>
    <w:rsid w:val="009F3991"/>
    <w:rsid w:val="009F3FBC"/>
    <w:rsid w:val="009F4074"/>
    <w:rsid w:val="009F42D3"/>
    <w:rsid w:val="009F474D"/>
    <w:rsid w:val="009F4BED"/>
    <w:rsid w:val="009F505E"/>
    <w:rsid w:val="009F5694"/>
    <w:rsid w:val="009F569D"/>
    <w:rsid w:val="009F5944"/>
    <w:rsid w:val="009F5A2A"/>
    <w:rsid w:val="009F6619"/>
    <w:rsid w:val="009F66A0"/>
    <w:rsid w:val="009F690C"/>
    <w:rsid w:val="009F6E3A"/>
    <w:rsid w:val="009F6F5C"/>
    <w:rsid w:val="009F6FED"/>
    <w:rsid w:val="009F7323"/>
    <w:rsid w:val="009F757C"/>
    <w:rsid w:val="009F76CE"/>
    <w:rsid w:val="009F77B1"/>
    <w:rsid w:val="009F786A"/>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303"/>
    <w:rsid w:val="00A0257E"/>
    <w:rsid w:val="00A02636"/>
    <w:rsid w:val="00A026DC"/>
    <w:rsid w:val="00A02BE8"/>
    <w:rsid w:val="00A02BF7"/>
    <w:rsid w:val="00A03516"/>
    <w:rsid w:val="00A03602"/>
    <w:rsid w:val="00A03653"/>
    <w:rsid w:val="00A03A0C"/>
    <w:rsid w:val="00A046A5"/>
    <w:rsid w:val="00A0472C"/>
    <w:rsid w:val="00A047B2"/>
    <w:rsid w:val="00A049C1"/>
    <w:rsid w:val="00A04CF5"/>
    <w:rsid w:val="00A052E7"/>
    <w:rsid w:val="00A0539C"/>
    <w:rsid w:val="00A053B1"/>
    <w:rsid w:val="00A05821"/>
    <w:rsid w:val="00A05BAA"/>
    <w:rsid w:val="00A05DFB"/>
    <w:rsid w:val="00A06460"/>
    <w:rsid w:val="00A06CE7"/>
    <w:rsid w:val="00A06DCB"/>
    <w:rsid w:val="00A06DFE"/>
    <w:rsid w:val="00A06E4C"/>
    <w:rsid w:val="00A06E73"/>
    <w:rsid w:val="00A06F93"/>
    <w:rsid w:val="00A070DA"/>
    <w:rsid w:val="00A07131"/>
    <w:rsid w:val="00A07380"/>
    <w:rsid w:val="00A074BA"/>
    <w:rsid w:val="00A0778F"/>
    <w:rsid w:val="00A1001A"/>
    <w:rsid w:val="00A10082"/>
    <w:rsid w:val="00A1013B"/>
    <w:rsid w:val="00A101FF"/>
    <w:rsid w:val="00A10568"/>
    <w:rsid w:val="00A106B0"/>
    <w:rsid w:val="00A108B8"/>
    <w:rsid w:val="00A10931"/>
    <w:rsid w:val="00A10C64"/>
    <w:rsid w:val="00A10F7A"/>
    <w:rsid w:val="00A111A6"/>
    <w:rsid w:val="00A1131E"/>
    <w:rsid w:val="00A11A68"/>
    <w:rsid w:val="00A11A7E"/>
    <w:rsid w:val="00A11DF6"/>
    <w:rsid w:val="00A11E96"/>
    <w:rsid w:val="00A1241E"/>
    <w:rsid w:val="00A12476"/>
    <w:rsid w:val="00A12539"/>
    <w:rsid w:val="00A12C4B"/>
    <w:rsid w:val="00A13081"/>
    <w:rsid w:val="00A1320E"/>
    <w:rsid w:val="00A137F2"/>
    <w:rsid w:val="00A13BD3"/>
    <w:rsid w:val="00A13C76"/>
    <w:rsid w:val="00A13C8D"/>
    <w:rsid w:val="00A13E05"/>
    <w:rsid w:val="00A1410D"/>
    <w:rsid w:val="00A14160"/>
    <w:rsid w:val="00A143A4"/>
    <w:rsid w:val="00A144FC"/>
    <w:rsid w:val="00A14545"/>
    <w:rsid w:val="00A14792"/>
    <w:rsid w:val="00A14842"/>
    <w:rsid w:val="00A1562D"/>
    <w:rsid w:val="00A158A0"/>
    <w:rsid w:val="00A15910"/>
    <w:rsid w:val="00A1641B"/>
    <w:rsid w:val="00A16626"/>
    <w:rsid w:val="00A168C8"/>
    <w:rsid w:val="00A16AA9"/>
    <w:rsid w:val="00A16BB9"/>
    <w:rsid w:val="00A16DAC"/>
    <w:rsid w:val="00A17453"/>
    <w:rsid w:val="00A174A1"/>
    <w:rsid w:val="00A17855"/>
    <w:rsid w:val="00A17A17"/>
    <w:rsid w:val="00A17BC5"/>
    <w:rsid w:val="00A17CA2"/>
    <w:rsid w:val="00A17D8B"/>
    <w:rsid w:val="00A17D93"/>
    <w:rsid w:val="00A20177"/>
    <w:rsid w:val="00A210B6"/>
    <w:rsid w:val="00A210B7"/>
    <w:rsid w:val="00A2138E"/>
    <w:rsid w:val="00A213ED"/>
    <w:rsid w:val="00A21599"/>
    <w:rsid w:val="00A218C0"/>
    <w:rsid w:val="00A21D92"/>
    <w:rsid w:val="00A21EF6"/>
    <w:rsid w:val="00A2248E"/>
    <w:rsid w:val="00A226BC"/>
    <w:rsid w:val="00A231B6"/>
    <w:rsid w:val="00A23221"/>
    <w:rsid w:val="00A2359B"/>
    <w:rsid w:val="00A23610"/>
    <w:rsid w:val="00A2389A"/>
    <w:rsid w:val="00A23BAD"/>
    <w:rsid w:val="00A23CC6"/>
    <w:rsid w:val="00A23D48"/>
    <w:rsid w:val="00A2400F"/>
    <w:rsid w:val="00A240EB"/>
    <w:rsid w:val="00A24104"/>
    <w:rsid w:val="00A2435B"/>
    <w:rsid w:val="00A24419"/>
    <w:rsid w:val="00A24528"/>
    <w:rsid w:val="00A24FE2"/>
    <w:rsid w:val="00A252CA"/>
    <w:rsid w:val="00A25ACE"/>
    <w:rsid w:val="00A26006"/>
    <w:rsid w:val="00A26454"/>
    <w:rsid w:val="00A2677B"/>
    <w:rsid w:val="00A26789"/>
    <w:rsid w:val="00A272EF"/>
    <w:rsid w:val="00A2757A"/>
    <w:rsid w:val="00A27858"/>
    <w:rsid w:val="00A27B6D"/>
    <w:rsid w:val="00A27B91"/>
    <w:rsid w:val="00A27E10"/>
    <w:rsid w:val="00A27FEA"/>
    <w:rsid w:val="00A30080"/>
    <w:rsid w:val="00A301A4"/>
    <w:rsid w:val="00A308DC"/>
    <w:rsid w:val="00A309C8"/>
    <w:rsid w:val="00A30F73"/>
    <w:rsid w:val="00A31120"/>
    <w:rsid w:val="00A31376"/>
    <w:rsid w:val="00A313C2"/>
    <w:rsid w:val="00A318A6"/>
    <w:rsid w:val="00A31A46"/>
    <w:rsid w:val="00A31A9B"/>
    <w:rsid w:val="00A31D87"/>
    <w:rsid w:val="00A31F4B"/>
    <w:rsid w:val="00A32066"/>
    <w:rsid w:val="00A32111"/>
    <w:rsid w:val="00A32370"/>
    <w:rsid w:val="00A323F7"/>
    <w:rsid w:val="00A328CF"/>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7B4"/>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32B"/>
    <w:rsid w:val="00A4155F"/>
    <w:rsid w:val="00A4161C"/>
    <w:rsid w:val="00A41B86"/>
    <w:rsid w:val="00A41C74"/>
    <w:rsid w:val="00A41EFC"/>
    <w:rsid w:val="00A4232B"/>
    <w:rsid w:val="00A423E7"/>
    <w:rsid w:val="00A427CA"/>
    <w:rsid w:val="00A42B92"/>
    <w:rsid w:val="00A42D38"/>
    <w:rsid w:val="00A43028"/>
    <w:rsid w:val="00A43212"/>
    <w:rsid w:val="00A432EA"/>
    <w:rsid w:val="00A43558"/>
    <w:rsid w:val="00A43B30"/>
    <w:rsid w:val="00A43F35"/>
    <w:rsid w:val="00A44363"/>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711E"/>
    <w:rsid w:val="00A47313"/>
    <w:rsid w:val="00A473D3"/>
    <w:rsid w:val="00A474F8"/>
    <w:rsid w:val="00A47672"/>
    <w:rsid w:val="00A4777A"/>
    <w:rsid w:val="00A47C4F"/>
    <w:rsid w:val="00A47C9D"/>
    <w:rsid w:val="00A50296"/>
    <w:rsid w:val="00A5096B"/>
    <w:rsid w:val="00A50975"/>
    <w:rsid w:val="00A50E1B"/>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9C9"/>
    <w:rsid w:val="00A54AA0"/>
    <w:rsid w:val="00A54E7B"/>
    <w:rsid w:val="00A550AC"/>
    <w:rsid w:val="00A554E4"/>
    <w:rsid w:val="00A55EBA"/>
    <w:rsid w:val="00A56121"/>
    <w:rsid w:val="00A56222"/>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493"/>
    <w:rsid w:val="00A625DF"/>
    <w:rsid w:val="00A62792"/>
    <w:rsid w:val="00A629CB"/>
    <w:rsid w:val="00A62A3E"/>
    <w:rsid w:val="00A62C6C"/>
    <w:rsid w:val="00A631D8"/>
    <w:rsid w:val="00A6356C"/>
    <w:rsid w:val="00A63E70"/>
    <w:rsid w:val="00A64302"/>
    <w:rsid w:val="00A644F3"/>
    <w:rsid w:val="00A64B26"/>
    <w:rsid w:val="00A64CDD"/>
    <w:rsid w:val="00A65275"/>
    <w:rsid w:val="00A65801"/>
    <w:rsid w:val="00A658CE"/>
    <w:rsid w:val="00A65BAF"/>
    <w:rsid w:val="00A65DE8"/>
    <w:rsid w:val="00A65EA1"/>
    <w:rsid w:val="00A6608B"/>
    <w:rsid w:val="00A664B7"/>
    <w:rsid w:val="00A66BB4"/>
    <w:rsid w:val="00A66BCA"/>
    <w:rsid w:val="00A66C4E"/>
    <w:rsid w:val="00A671C5"/>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8ED"/>
    <w:rsid w:val="00A7294A"/>
    <w:rsid w:val="00A72E1D"/>
    <w:rsid w:val="00A72FBC"/>
    <w:rsid w:val="00A7315C"/>
    <w:rsid w:val="00A735BD"/>
    <w:rsid w:val="00A7391A"/>
    <w:rsid w:val="00A739B3"/>
    <w:rsid w:val="00A73C16"/>
    <w:rsid w:val="00A73ECA"/>
    <w:rsid w:val="00A74050"/>
    <w:rsid w:val="00A7459E"/>
    <w:rsid w:val="00A74787"/>
    <w:rsid w:val="00A74D6D"/>
    <w:rsid w:val="00A74F03"/>
    <w:rsid w:val="00A7528F"/>
    <w:rsid w:val="00A75431"/>
    <w:rsid w:val="00A75C6D"/>
    <w:rsid w:val="00A7601A"/>
    <w:rsid w:val="00A761AE"/>
    <w:rsid w:val="00A761C3"/>
    <w:rsid w:val="00A763CB"/>
    <w:rsid w:val="00A76DA0"/>
    <w:rsid w:val="00A77020"/>
    <w:rsid w:val="00A771B7"/>
    <w:rsid w:val="00A77222"/>
    <w:rsid w:val="00A77A49"/>
    <w:rsid w:val="00A77E21"/>
    <w:rsid w:val="00A77F88"/>
    <w:rsid w:val="00A77F97"/>
    <w:rsid w:val="00A77FDE"/>
    <w:rsid w:val="00A77FE7"/>
    <w:rsid w:val="00A801EA"/>
    <w:rsid w:val="00A802AE"/>
    <w:rsid w:val="00A8052D"/>
    <w:rsid w:val="00A805AD"/>
    <w:rsid w:val="00A80624"/>
    <w:rsid w:val="00A80DB4"/>
    <w:rsid w:val="00A80DDC"/>
    <w:rsid w:val="00A80F2B"/>
    <w:rsid w:val="00A81005"/>
    <w:rsid w:val="00A8107C"/>
    <w:rsid w:val="00A812A0"/>
    <w:rsid w:val="00A812F5"/>
    <w:rsid w:val="00A816D1"/>
    <w:rsid w:val="00A816EF"/>
    <w:rsid w:val="00A818CA"/>
    <w:rsid w:val="00A81A07"/>
    <w:rsid w:val="00A81A84"/>
    <w:rsid w:val="00A81B89"/>
    <w:rsid w:val="00A81DA6"/>
    <w:rsid w:val="00A82295"/>
    <w:rsid w:val="00A829D9"/>
    <w:rsid w:val="00A82A10"/>
    <w:rsid w:val="00A82BDB"/>
    <w:rsid w:val="00A82EFA"/>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A25"/>
    <w:rsid w:val="00A86F58"/>
    <w:rsid w:val="00A870F5"/>
    <w:rsid w:val="00A877AD"/>
    <w:rsid w:val="00A877CB"/>
    <w:rsid w:val="00A879C1"/>
    <w:rsid w:val="00A879F2"/>
    <w:rsid w:val="00A87B07"/>
    <w:rsid w:val="00A87B27"/>
    <w:rsid w:val="00A87C4C"/>
    <w:rsid w:val="00A90212"/>
    <w:rsid w:val="00A9062C"/>
    <w:rsid w:val="00A90953"/>
    <w:rsid w:val="00A90DCE"/>
    <w:rsid w:val="00A912C8"/>
    <w:rsid w:val="00A913C7"/>
    <w:rsid w:val="00A9170A"/>
    <w:rsid w:val="00A91941"/>
    <w:rsid w:val="00A919E8"/>
    <w:rsid w:val="00A91A55"/>
    <w:rsid w:val="00A92131"/>
    <w:rsid w:val="00A9217C"/>
    <w:rsid w:val="00A9252D"/>
    <w:rsid w:val="00A92AB8"/>
    <w:rsid w:val="00A92B13"/>
    <w:rsid w:val="00A92FE9"/>
    <w:rsid w:val="00A933FB"/>
    <w:rsid w:val="00A93446"/>
    <w:rsid w:val="00A936A6"/>
    <w:rsid w:val="00A93AB8"/>
    <w:rsid w:val="00A93BA6"/>
    <w:rsid w:val="00A93DB2"/>
    <w:rsid w:val="00A942EF"/>
    <w:rsid w:val="00A94418"/>
    <w:rsid w:val="00A94796"/>
    <w:rsid w:val="00A94820"/>
    <w:rsid w:val="00A95113"/>
    <w:rsid w:val="00A956C0"/>
    <w:rsid w:val="00A95B4C"/>
    <w:rsid w:val="00A95C89"/>
    <w:rsid w:val="00A960DD"/>
    <w:rsid w:val="00A964C8"/>
    <w:rsid w:val="00A96694"/>
    <w:rsid w:val="00A9676C"/>
    <w:rsid w:val="00A96860"/>
    <w:rsid w:val="00A96B12"/>
    <w:rsid w:val="00A96B72"/>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42F"/>
    <w:rsid w:val="00AA2536"/>
    <w:rsid w:val="00AA28AB"/>
    <w:rsid w:val="00AA2912"/>
    <w:rsid w:val="00AA2ACE"/>
    <w:rsid w:val="00AA2E97"/>
    <w:rsid w:val="00AA347A"/>
    <w:rsid w:val="00AA3AB6"/>
    <w:rsid w:val="00AA3B77"/>
    <w:rsid w:val="00AA3EFA"/>
    <w:rsid w:val="00AA42FB"/>
    <w:rsid w:val="00AA4658"/>
    <w:rsid w:val="00AA4960"/>
    <w:rsid w:val="00AA49A0"/>
    <w:rsid w:val="00AA4D19"/>
    <w:rsid w:val="00AA4D47"/>
    <w:rsid w:val="00AA4DE4"/>
    <w:rsid w:val="00AA4FC9"/>
    <w:rsid w:val="00AA504C"/>
    <w:rsid w:val="00AA51EE"/>
    <w:rsid w:val="00AA54B6"/>
    <w:rsid w:val="00AA5884"/>
    <w:rsid w:val="00AA59F8"/>
    <w:rsid w:val="00AA5C06"/>
    <w:rsid w:val="00AA5E2E"/>
    <w:rsid w:val="00AA676B"/>
    <w:rsid w:val="00AA6941"/>
    <w:rsid w:val="00AA7075"/>
    <w:rsid w:val="00AA72EA"/>
    <w:rsid w:val="00AA74E6"/>
    <w:rsid w:val="00AA752A"/>
    <w:rsid w:val="00AA760F"/>
    <w:rsid w:val="00AA77D4"/>
    <w:rsid w:val="00AA7B06"/>
    <w:rsid w:val="00AA7B67"/>
    <w:rsid w:val="00AA7EFA"/>
    <w:rsid w:val="00AA7F28"/>
    <w:rsid w:val="00AB0875"/>
    <w:rsid w:val="00AB09F3"/>
    <w:rsid w:val="00AB0FCC"/>
    <w:rsid w:val="00AB10A6"/>
    <w:rsid w:val="00AB124E"/>
    <w:rsid w:val="00AB12E4"/>
    <w:rsid w:val="00AB17C8"/>
    <w:rsid w:val="00AB185C"/>
    <w:rsid w:val="00AB1943"/>
    <w:rsid w:val="00AB2045"/>
    <w:rsid w:val="00AB21A2"/>
    <w:rsid w:val="00AB21FA"/>
    <w:rsid w:val="00AB2229"/>
    <w:rsid w:val="00AB2441"/>
    <w:rsid w:val="00AB264E"/>
    <w:rsid w:val="00AB2869"/>
    <w:rsid w:val="00AB2C01"/>
    <w:rsid w:val="00AB2F5E"/>
    <w:rsid w:val="00AB30D5"/>
    <w:rsid w:val="00AB3282"/>
    <w:rsid w:val="00AB330B"/>
    <w:rsid w:val="00AB3699"/>
    <w:rsid w:val="00AB3AE2"/>
    <w:rsid w:val="00AB3B05"/>
    <w:rsid w:val="00AB3EA8"/>
    <w:rsid w:val="00AB4250"/>
    <w:rsid w:val="00AB4339"/>
    <w:rsid w:val="00AB4865"/>
    <w:rsid w:val="00AB4A51"/>
    <w:rsid w:val="00AB4B9C"/>
    <w:rsid w:val="00AB4C44"/>
    <w:rsid w:val="00AB4D2A"/>
    <w:rsid w:val="00AB5A53"/>
    <w:rsid w:val="00AB5A98"/>
    <w:rsid w:val="00AB5E04"/>
    <w:rsid w:val="00AB653E"/>
    <w:rsid w:val="00AB6971"/>
    <w:rsid w:val="00AB6F41"/>
    <w:rsid w:val="00AB7741"/>
    <w:rsid w:val="00AB7CD2"/>
    <w:rsid w:val="00AB7ECA"/>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4DA"/>
    <w:rsid w:val="00AC3078"/>
    <w:rsid w:val="00AC32A5"/>
    <w:rsid w:val="00AC35D9"/>
    <w:rsid w:val="00AC3772"/>
    <w:rsid w:val="00AC3C6A"/>
    <w:rsid w:val="00AC3CD4"/>
    <w:rsid w:val="00AC4187"/>
    <w:rsid w:val="00AC41C1"/>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1D09"/>
    <w:rsid w:val="00AD203F"/>
    <w:rsid w:val="00AD20D0"/>
    <w:rsid w:val="00AD20E4"/>
    <w:rsid w:val="00AD216C"/>
    <w:rsid w:val="00AD2B53"/>
    <w:rsid w:val="00AD2F3A"/>
    <w:rsid w:val="00AD300B"/>
    <w:rsid w:val="00AD3268"/>
    <w:rsid w:val="00AD34F4"/>
    <w:rsid w:val="00AD378F"/>
    <w:rsid w:val="00AD45FD"/>
    <w:rsid w:val="00AD545D"/>
    <w:rsid w:val="00AD5795"/>
    <w:rsid w:val="00AD5962"/>
    <w:rsid w:val="00AD5A2D"/>
    <w:rsid w:val="00AD5A35"/>
    <w:rsid w:val="00AD5B47"/>
    <w:rsid w:val="00AD5D27"/>
    <w:rsid w:val="00AD65E0"/>
    <w:rsid w:val="00AD69D2"/>
    <w:rsid w:val="00AD733A"/>
    <w:rsid w:val="00AD741B"/>
    <w:rsid w:val="00AD7755"/>
    <w:rsid w:val="00AD7A23"/>
    <w:rsid w:val="00AD7C8B"/>
    <w:rsid w:val="00AD7ED2"/>
    <w:rsid w:val="00AE0042"/>
    <w:rsid w:val="00AE0274"/>
    <w:rsid w:val="00AE02B8"/>
    <w:rsid w:val="00AE04EB"/>
    <w:rsid w:val="00AE060C"/>
    <w:rsid w:val="00AE070F"/>
    <w:rsid w:val="00AE08FC"/>
    <w:rsid w:val="00AE0D79"/>
    <w:rsid w:val="00AE0E05"/>
    <w:rsid w:val="00AE1403"/>
    <w:rsid w:val="00AE148B"/>
    <w:rsid w:val="00AE15FB"/>
    <w:rsid w:val="00AE1624"/>
    <w:rsid w:val="00AE1649"/>
    <w:rsid w:val="00AE18CD"/>
    <w:rsid w:val="00AE191A"/>
    <w:rsid w:val="00AE1B45"/>
    <w:rsid w:val="00AE21B4"/>
    <w:rsid w:val="00AE220D"/>
    <w:rsid w:val="00AE246C"/>
    <w:rsid w:val="00AE2C52"/>
    <w:rsid w:val="00AE2C71"/>
    <w:rsid w:val="00AE2CC8"/>
    <w:rsid w:val="00AE2DFF"/>
    <w:rsid w:val="00AE2E0E"/>
    <w:rsid w:val="00AE2EBD"/>
    <w:rsid w:val="00AE3077"/>
    <w:rsid w:val="00AE34C5"/>
    <w:rsid w:val="00AE3628"/>
    <w:rsid w:val="00AE3921"/>
    <w:rsid w:val="00AE3AC0"/>
    <w:rsid w:val="00AE3AF4"/>
    <w:rsid w:val="00AE3F39"/>
    <w:rsid w:val="00AE4225"/>
    <w:rsid w:val="00AE4342"/>
    <w:rsid w:val="00AE437D"/>
    <w:rsid w:val="00AE4412"/>
    <w:rsid w:val="00AE4495"/>
    <w:rsid w:val="00AE465E"/>
    <w:rsid w:val="00AE50A7"/>
    <w:rsid w:val="00AE50DD"/>
    <w:rsid w:val="00AE5132"/>
    <w:rsid w:val="00AE5278"/>
    <w:rsid w:val="00AE53E7"/>
    <w:rsid w:val="00AE543D"/>
    <w:rsid w:val="00AE5587"/>
    <w:rsid w:val="00AE56A1"/>
    <w:rsid w:val="00AE586B"/>
    <w:rsid w:val="00AE5CC7"/>
    <w:rsid w:val="00AE60F0"/>
    <w:rsid w:val="00AE6243"/>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7DD"/>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CF"/>
    <w:rsid w:val="00AF51D3"/>
    <w:rsid w:val="00AF5CD8"/>
    <w:rsid w:val="00AF623E"/>
    <w:rsid w:val="00AF62F1"/>
    <w:rsid w:val="00AF6491"/>
    <w:rsid w:val="00AF64D1"/>
    <w:rsid w:val="00AF6626"/>
    <w:rsid w:val="00AF664B"/>
    <w:rsid w:val="00AF6FBC"/>
    <w:rsid w:val="00AF7199"/>
    <w:rsid w:val="00AF72C2"/>
    <w:rsid w:val="00AF7500"/>
    <w:rsid w:val="00AF764A"/>
    <w:rsid w:val="00AF7A37"/>
    <w:rsid w:val="00AF7C49"/>
    <w:rsid w:val="00B00478"/>
    <w:rsid w:val="00B004E5"/>
    <w:rsid w:val="00B006E8"/>
    <w:rsid w:val="00B008F4"/>
    <w:rsid w:val="00B00C6F"/>
    <w:rsid w:val="00B0104D"/>
    <w:rsid w:val="00B010FE"/>
    <w:rsid w:val="00B011A3"/>
    <w:rsid w:val="00B011D3"/>
    <w:rsid w:val="00B014E3"/>
    <w:rsid w:val="00B01522"/>
    <w:rsid w:val="00B01619"/>
    <w:rsid w:val="00B017B4"/>
    <w:rsid w:val="00B017EA"/>
    <w:rsid w:val="00B01CDA"/>
    <w:rsid w:val="00B0215C"/>
    <w:rsid w:val="00B021FD"/>
    <w:rsid w:val="00B022FC"/>
    <w:rsid w:val="00B02469"/>
    <w:rsid w:val="00B02895"/>
    <w:rsid w:val="00B0289D"/>
    <w:rsid w:val="00B02B6D"/>
    <w:rsid w:val="00B02C92"/>
    <w:rsid w:val="00B02DA9"/>
    <w:rsid w:val="00B03165"/>
    <w:rsid w:val="00B0382A"/>
    <w:rsid w:val="00B03A4A"/>
    <w:rsid w:val="00B03CD6"/>
    <w:rsid w:val="00B03DDC"/>
    <w:rsid w:val="00B0403C"/>
    <w:rsid w:val="00B040D6"/>
    <w:rsid w:val="00B0434A"/>
    <w:rsid w:val="00B0451B"/>
    <w:rsid w:val="00B045B7"/>
    <w:rsid w:val="00B04708"/>
    <w:rsid w:val="00B04944"/>
    <w:rsid w:val="00B0537A"/>
    <w:rsid w:val="00B05687"/>
    <w:rsid w:val="00B0585F"/>
    <w:rsid w:val="00B059FF"/>
    <w:rsid w:val="00B05AF7"/>
    <w:rsid w:val="00B05D9D"/>
    <w:rsid w:val="00B05EB5"/>
    <w:rsid w:val="00B06437"/>
    <w:rsid w:val="00B06755"/>
    <w:rsid w:val="00B069FC"/>
    <w:rsid w:val="00B06DFC"/>
    <w:rsid w:val="00B06EFB"/>
    <w:rsid w:val="00B06F09"/>
    <w:rsid w:val="00B0716F"/>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642"/>
    <w:rsid w:val="00B137E1"/>
    <w:rsid w:val="00B13939"/>
    <w:rsid w:val="00B139FD"/>
    <w:rsid w:val="00B13B20"/>
    <w:rsid w:val="00B13C96"/>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73B3"/>
    <w:rsid w:val="00B17780"/>
    <w:rsid w:val="00B17D65"/>
    <w:rsid w:val="00B20159"/>
    <w:rsid w:val="00B20271"/>
    <w:rsid w:val="00B202FB"/>
    <w:rsid w:val="00B2043B"/>
    <w:rsid w:val="00B205DF"/>
    <w:rsid w:val="00B2068F"/>
    <w:rsid w:val="00B2071F"/>
    <w:rsid w:val="00B20E0D"/>
    <w:rsid w:val="00B21359"/>
    <w:rsid w:val="00B2154E"/>
    <w:rsid w:val="00B219C0"/>
    <w:rsid w:val="00B21C2E"/>
    <w:rsid w:val="00B21C3D"/>
    <w:rsid w:val="00B21F46"/>
    <w:rsid w:val="00B21FD6"/>
    <w:rsid w:val="00B22132"/>
    <w:rsid w:val="00B22220"/>
    <w:rsid w:val="00B2254F"/>
    <w:rsid w:val="00B22748"/>
    <w:rsid w:val="00B22DB9"/>
    <w:rsid w:val="00B22E11"/>
    <w:rsid w:val="00B2304F"/>
    <w:rsid w:val="00B230D2"/>
    <w:rsid w:val="00B23265"/>
    <w:rsid w:val="00B23663"/>
    <w:rsid w:val="00B23688"/>
    <w:rsid w:val="00B2391B"/>
    <w:rsid w:val="00B23A16"/>
    <w:rsid w:val="00B23A86"/>
    <w:rsid w:val="00B23E09"/>
    <w:rsid w:val="00B2414B"/>
    <w:rsid w:val="00B24597"/>
    <w:rsid w:val="00B2471C"/>
    <w:rsid w:val="00B247AB"/>
    <w:rsid w:val="00B24F10"/>
    <w:rsid w:val="00B2539D"/>
    <w:rsid w:val="00B25660"/>
    <w:rsid w:val="00B257AC"/>
    <w:rsid w:val="00B25AB0"/>
    <w:rsid w:val="00B25BC7"/>
    <w:rsid w:val="00B26183"/>
    <w:rsid w:val="00B263FB"/>
    <w:rsid w:val="00B267D9"/>
    <w:rsid w:val="00B26A8B"/>
    <w:rsid w:val="00B26C98"/>
    <w:rsid w:val="00B26D31"/>
    <w:rsid w:val="00B26F67"/>
    <w:rsid w:val="00B27546"/>
    <w:rsid w:val="00B27577"/>
    <w:rsid w:val="00B27732"/>
    <w:rsid w:val="00B27C76"/>
    <w:rsid w:val="00B27C8A"/>
    <w:rsid w:val="00B27D32"/>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0EC"/>
    <w:rsid w:val="00B31188"/>
    <w:rsid w:val="00B3139D"/>
    <w:rsid w:val="00B315D0"/>
    <w:rsid w:val="00B31601"/>
    <w:rsid w:val="00B3186D"/>
    <w:rsid w:val="00B31A31"/>
    <w:rsid w:val="00B31AD1"/>
    <w:rsid w:val="00B31D3E"/>
    <w:rsid w:val="00B31DDE"/>
    <w:rsid w:val="00B31E3E"/>
    <w:rsid w:val="00B31FA7"/>
    <w:rsid w:val="00B320BF"/>
    <w:rsid w:val="00B3245C"/>
    <w:rsid w:val="00B32970"/>
    <w:rsid w:val="00B32AC1"/>
    <w:rsid w:val="00B32B7F"/>
    <w:rsid w:val="00B32F84"/>
    <w:rsid w:val="00B3327A"/>
    <w:rsid w:val="00B33C49"/>
    <w:rsid w:val="00B34047"/>
    <w:rsid w:val="00B3409D"/>
    <w:rsid w:val="00B3435D"/>
    <w:rsid w:val="00B3486E"/>
    <w:rsid w:val="00B34A90"/>
    <w:rsid w:val="00B34B0B"/>
    <w:rsid w:val="00B34B89"/>
    <w:rsid w:val="00B35452"/>
    <w:rsid w:val="00B35590"/>
    <w:rsid w:val="00B355C1"/>
    <w:rsid w:val="00B35852"/>
    <w:rsid w:val="00B35A9B"/>
    <w:rsid w:val="00B362D0"/>
    <w:rsid w:val="00B366BB"/>
    <w:rsid w:val="00B36887"/>
    <w:rsid w:val="00B36B46"/>
    <w:rsid w:val="00B36B7E"/>
    <w:rsid w:val="00B36DDB"/>
    <w:rsid w:val="00B3705D"/>
    <w:rsid w:val="00B3714A"/>
    <w:rsid w:val="00B371B2"/>
    <w:rsid w:val="00B3766E"/>
    <w:rsid w:val="00B3780F"/>
    <w:rsid w:val="00B37B59"/>
    <w:rsid w:val="00B37DF9"/>
    <w:rsid w:val="00B40117"/>
    <w:rsid w:val="00B40404"/>
    <w:rsid w:val="00B40490"/>
    <w:rsid w:val="00B40568"/>
    <w:rsid w:val="00B40730"/>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60"/>
    <w:rsid w:val="00B4207D"/>
    <w:rsid w:val="00B42ABC"/>
    <w:rsid w:val="00B42B2E"/>
    <w:rsid w:val="00B42B63"/>
    <w:rsid w:val="00B42F96"/>
    <w:rsid w:val="00B43158"/>
    <w:rsid w:val="00B43318"/>
    <w:rsid w:val="00B43396"/>
    <w:rsid w:val="00B433BF"/>
    <w:rsid w:val="00B433FC"/>
    <w:rsid w:val="00B436E3"/>
    <w:rsid w:val="00B437BF"/>
    <w:rsid w:val="00B43F42"/>
    <w:rsid w:val="00B44090"/>
    <w:rsid w:val="00B446C4"/>
    <w:rsid w:val="00B449B7"/>
    <w:rsid w:val="00B44A92"/>
    <w:rsid w:val="00B44ACF"/>
    <w:rsid w:val="00B45193"/>
    <w:rsid w:val="00B460AC"/>
    <w:rsid w:val="00B46279"/>
    <w:rsid w:val="00B46634"/>
    <w:rsid w:val="00B46B76"/>
    <w:rsid w:val="00B46E84"/>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A97"/>
    <w:rsid w:val="00B52C49"/>
    <w:rsid w:val="00B52CFB"/>
    <w:rsid w:val="00B5306F"/>
    <w:rsid w:val="00B530C5"/>
    <w:rsid w:val="00B531F3"/>
    <w:rsid w:val="00B539D3"/>
    <w:rsid w:val="00B53B29"/>
    <w:rsid w:val="00B53B95"/>
    <w:rsid w:val="00B53C35"/>
    <w:rsid w:val="00B53C9B"/>
    <w:rsid w:val="00B53D45"/>
    <w:rsid w:val="00B53E3A"/>
    <w:rsid w:val="00B53E97"/>
    <w:rsid w:val="00B5401C"/>
    <w:rsid w:val="00B541ED"/>
    <w:rsid w:val="00B54898"/>
    <w:rsid w:val="00B548BB"/>
    <w:rsid w:val="00B548BE"/>
    <w:rsid w:val="00B54C6B"/>
    <w:rsid w:val="00B54D5D"/>
    <w:rsid w:val="00B54D66"/>
    <w:rsid w:val="00B54FF8"/>
    <w:rsid w:val="00B5523D"/>
    <w:rsid w:val="00B5582C"/>
    <w:rsid w:val="00B55A25"/>
    <w:rsid w:val="00B55DC8"/>
    <w:rsid w:val="00B55E70"/>
    <w:rsid w:val="00B560C3"/>
    <w:rsid w:val="00B563A7"/>
    <w:rsid w:val="00B565DE"/>
    <w:rsid w:val="00B56731"/>
    <w:rsid w:val="00B5683C"/>
    <w:rsid w:val="00B56D31"/>
    <w:rsid w:val="00B5708D"/>
    <w:rsid w:val="00B57477"/>
    <w:rsid w:val="00B574C7"/>
    <w:rsid w:val="00B57DCA"/>
    <w:rsid w:val="00B6066E"/>
    <w:rsid w:val="00B60ED9"/>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BD"/>
    <w:rsid w:val="00B63DB5"/>
    <w:rsid w:val="00B6415C"/>
    <w:rsid w:val="00B641F9"/>
    <w:rsid w:val="00B64A21"/>
    <w:rsid w:val="00B65350"/>
    <w:rsid w:val="00B65717"/>
    <w:rsid w:val="00B65939"/>
    <w:rsid w:val="00B65977"/>
    <w:rsid w:val="00B65C44"/>
    <w:rsid w:val="00B65C57"/>
    <w:rsid w:val="00B65E98"/>
    <w:rsid w:val="00B65EF6"/>
    <w:rsid w:val="00B66147"/>
    <w:rsid w:val="00B667E9"/>
    <w:rsid w:val="00B66C42"/>
    <w:rsid w:val="00B66C81"/>
    <w:rsid w:val="00B6701E"/>
    <w:rsid w:val="00B67293"/>
    <w:rsid w:val="00B67429"/>
    <w:rsid w:val="00B6765D"/>
    <w:rsid w:val="00B67936"/>
    <w:rsid w:val="00B67CD3"/>
    <w:rsid w:val="00B67FE3"/>
    <w:rsid w:val="00B700D1"/>
    <w:rsid w:val="00B70197"/>
    <w:rsid w:val="00B703BF"/>
    <w:rsid w:val="00B705A0"/>
    <w:rsid w:val="00B70610"/>
    <w:rsid w:val="00B7067D"/>
    <w:rsid w:val="00B706CF"/>
    <w:rsid w:val="00B70AE2"/>
    <w:rsid w:val="00B70C23"/>
    <w:rsid w:val="00B70E24"/>
    <w:rsid w:val="00B70FA3"/>
    <w:rsid w:val="00B719B9"/>
    <w:rsid w:val="00B71D92"/>
    <w:rsid w:val="00B71D9E"/>
    <w:rsid w:val="00B71E7C"/>
    <w:rsid w:val="00B71F19"/>
    <w:rsid w:val="00B72202"/>
    <w:rsid w:val="00B722A3"/>
    <w:rsid w:val="00B722CD"/>
    <w:rsid w:val="00B728E5"/>
    <w:rsid w:val="00B72942"/>
    <w:rsid w:val="00B731F0"/>
    <w:rsid w:val="00B7342D"/>
    <w:rsid w:val="00B73546"/>
    <w:rsid w:val="00B73629"/>
    <w:rsid w:val="00B736B5"/>
    <w:rsid w:val="00B738FD"/>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6A45"/>
    <w:rsid w:val="00B7718E"/>
    <w:rsid w:val="00B772DD"/>
    <w:rsid w:val="00B77BC7"/>
    <w:rsid w:val="00B77CFD"/>
    <w:rsid w:val="00B8026B"/>
    <w:rsid w:val="00B8087F"/>
    <w:rsid w:val="00B80992"/>
    <w:rsid w:val="00B80AAC"/>
    <w:rsid w:val="00B80BAB"/>
    <w:rsid w:val="00B80D07"/>
    <w:rsid w:val="00B8123C"/>
    <w:rsid w:val="00B815C2"/>
    <w:rsid w:val="00B816AD"/>
    <w:rsid w:val="00B817A2"/>
    <w:rsid w:val="00B817E7"/>
    <w:rsid w:val="00B81B31"/>
    <w:rsid w:val="00B81BE0"/>
    <w:rsid w:val="00B81F19"/>
    <w:rsid w:val="00B81F1C"/>
    <w:rsid w:val="00B82D77"/>
    <w:rsid w:val="00B82FD5"/>
    <w:rsid w:val="00B83089"/>
    <w:rsid w:val="00B8365A"/>
    <w:rsid w:val="00B8369D"/>
    <w:rsid w:val="00B83797"/>
    <w:rsid w:val="00B83980"/>
    <w:rsid w:val="00B83D39"/>
    <w:rsid w:val="00B83EC8"/>
    <w:rsid w:val="00B840D4"/>
    <w:rsid w:val="00B843B5"/>
    <w:rsid w:val="00B8481F"/>
    <w:rsid w:val="00B84C1A"/>
    <w:rsid w:val="00B84C6A"/>
    <w:rsid w:val="00B84F24"/>
    <w:rsid w:val="00B84FD8"/>
    <w:rsid w:val="00B85071"/>
    <w:rsid w:val="00B850E3"/>
    <w:rsid w:val="00B851DF"/>
    <w:rsid w:val="00B85466"/>
    <w:rsid w:val="00B85744"/>
    <w:rsid w:val="00B857F1"/>
    <w:rsid w:val="00B8582F"/>
    <w:rsid w:val="00B85838"/>
    <w:rsid w:val="00B8621C"/>
    <w:rsid w:val="00B864F3"/>
    <w:rsid w:val="00B8683D"/>
    <w:rsid w:val="00B86846"/>
    <w:rsid w:val="00B868B2"/>
    <w:rsid w:val="00B86DCC"/>
    <w:rsid w:val="00B87285"/>
    <w:rsid w:val="00B872ED"/>
    <w:rsid w:val="00B8766D"/>
    <w:rsid w:val="00B8794B"/>
    <w:rsid w:val="00B8795B"/>
    <w:rsid w:val="00B87A37"/>
    <w:rsid w:val="00B87ABC"/>
    <w:rsid w:val="00B87FBC"/>
    <w:rsid w:val="00B9020F"/>
    <w:rsid w:val="00B9027B"/>
    <w:rsid w:val="00B902EF"/>
    <w:rsid w:val="00B90B5A"/>
    <w:rsid w:val="00B90C92"/>
    <w:rsid w:val="00B90CD7"/>
    <w:rsid w:val="00B90E82"/>
    <w:rsid w:val="00B91067"/>
    <w:rsid w:val="00B911A4"/>
    <w:rsid w:val="00B911E7"/>
    <w:rsid w:val="00B91698"/>
    <w:rsid w:val="00B9211B"/>
    <w:rsid w:val="00B926F9"/>
    <w:rsid w:val="00B9274B"/>
    <w:rsid w:val="00B92F24"/>
    <w:rsid w:val="00B93401"/>
    <w:rsid w:val="00B93472"/>
    <w:rsid w:val="00B934AC"/>
    <w:rsid w:val="00B936A2"/>
    <w:rsid w:val="00B945CC"/>
    <w:rsid w:val="00B9511E"/>
    <w:rsid w:val="00B954A5"/>
    <w:rsid w:val="00B95729"/>
    <w:rsid w:val="00B95D9B"/>
    <w:rsid w:val="00B95EF4"/>
    <w:rsid w:val="00B95EF5"/>
    <w:rsid w:val="00B961C9"/>
    <w:rsid w:val="00B9621B"/>
    <w:rsid w:val="00B9648B"/>
    <w:rsid w:val="00B964A1"/>
    <w:rsid w:val="00B9664E"/>
    <w:rsid w:val="00B9667C"/>
    <w:rsid w:val="00B9670B"/>
    <w:rsid w:val="00B96935"/>
    <w:rsid w:val="00B96AC8"/>
    <w:rsid w:val="00B96AF1"/>
    <w:rsid w:val="00B96CC7"/>
    <w:rsid w:val="00B96E88"/>
    <w:rsid w:val="00B97016"/>
    <w:rsid w:val="00B97164"/>
    <w:rsid w:val="00B9733D"/>
    <w:rsid w:val="00B9748A"/>
    <w:rsid w:val="00B97DD3"/>
    <w:rsid w:val="00B97E4D"/>
    <w:rsid w:val="00B97FB7"/>
    <w:rsid w:val="00BA0371"/>
    <w:rsid w:val="00BA0463"/>
    <w:rsid w:val="00BA05A9"/>
    <w:rsid w:val="00BA0941"/>
    <w:rsid w:val="00BA0C92"/>
    <w:rsid w:val="00BA10EB"/>
    <w:rsid w:val="00BA1178"/>
    <w:rsid w:val="00BA13FD"/>
    <w:rsid w:val="00BA15D2"/>
    <w:rsid w:val="00BA16E0"/>
    <w:rsid w:val="00BA1DDB"/>
    <w:rsid w:val="00BA2395"/>
    <w:rsid w:val="00BA2620"/>
    <w:rsid w:val="00BA278B"/>
    <w:rsid w:val="00BA2941"/>
    <w:rsid w:val="00BA297B"/>
    <w:rsid w:val="00BA2B82"/>
    <w:rsid w:val="00BA2DF6"/>
    <w:rsid w:val="00BA3181"/>
    <w:rsid w:val="00BA3548"/>
    <w:rsid w:val="00BA36D2"/>
    <w:rsid w:val="00BA36E3"/>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CE1"/>
    <w:rsid w:val="00BA6E02"/>
    <w:rsid w:val="00BA6FB2"/>
    <w:rsid w:val="00BA74E8"/>
    <w:rsid w:val="00BA7A0F"/>
    <w:rsid w:val="00BA7FC8"/>
    <w:rsid w:val="00BA7FD7"/>
    <w:rsid w:val="00BB0038"/>
    <w:rsid w:val="00BB0269"/>
    <w:rsid w:val="00BB04AE"/>
    <w:rsid w:val="00BB05EB"/>
    <w:rsid w:val="00BB0836"/>
    <w:rsid w:val="00BB0C93"/>
    <w:rsid w:val="00BB177D"/>
    <w:rsid w:val="00BB1896"/>
    <w:rsid w:val="00BB1994"/>
    <w:rsid w:val="00BB1B21"/>
    <w:rsid w:val="00BB1DDD"/>
    <w:rsid w:val="00BB2513"/>
    <w:rsid w:val="00BB271D"/>
    <w:rsid w:val="00BB2ED8"/>
    <w:rsid w:val="00BB2EF3"/>
    <w:rsid w:val="00BB301D"/>
    <w:rsid w:val="00BB345B"/>
    <w:rsid w:val="00BB3500"/>
    <w:rsid w:val="00BB368B"/>
    <w:rsid w:val="00BB3B54"/>
    <w:rsid w:val="00BB3C69"/>
    <w:rsid w:val="00BB3D37"/>
    <w:rsid w:val="00BB3D7A"/>
    <w:rsid w:val="00BB46ED"/>
    <w:rsid w:val="00BB474A"/>
    <w:rsid w:val="00BB4782"/>
    <w:rsid w:val="00BB4873"/>
    <w:rsid w:val="00BB48FB"/>
    <w:rsid w:val="00BB48FF"/>
    <w:rsid w:val="00BB4D32"/>
    <w:rsid w:val="00BB512A"/>
    <w:rsid w:val="00BB51FB"/>
    <w:rsid w:val="00BB5C88"/>
    <w:rsid w:val="00BB6272"/>
    <w:rsid w:val="00BB668A"/>
    <w:rsid w:val="00BB68EC"/>
    <w:rsid w:val="00BB6E82"/>
    <w:rsid w:val="00BB7013"/>
    <w:rsid w:val="00BB7070"/>
    <w:rsid w:val="00BB72DF"/>
    <w:rsid w:val="00BB75CC"/>
    <w:rsid w:val="00BB76D6"/>
    <w:rsid w:val="00BC0478"/>
    <w:rsid w:val="00BC053D"/>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DF7"/>
    <w:rsid w:val="00BD0132"/>
    <w:rsid w:val="00BD0545"/>
    <w:rsid w:val="00BD0ACF"/>
    <w:rsid w:val="00BD0B11"/>
    <w:rsid w:val="00BD0BA7"/>
    <w:rsid w:val="00BD0D89"/>
    <w:rsid w:val="00BD0D8A"/>
    <w:rsid w:val="00BD127C"/>
    <w:rsid w:val="00BD179D"/>
    <w:rsid w:val="00BD1B0C"/>
    <w:rsid w:val="00BD1BE9"/>
    <w:rsid w:val="00BD1D54"/>
    <w:rsid w:val="00BD1E05"/>
    <w:rsid w:val="00BD2253"/>
    <w:rsid w:val="00BD251F"/>
    <w:rsid w:val="00BD25C8"/>
    <w:rsid w:val="00BD260E"/>
    <w:rsid w:val="00BD2C7D"/>
    <w:rsid w:val="00BD2EB7"/>
    <w:rsid w:val="00BD303F"/>
    <w:rsid w:val="00BD30CB"/>
    <w:rsid w:val="00BD3428"/>
    <w:rsid w:val="00BD35DE"/>
    <w:rsid w:val="00BD373C"/>
    <w:rsid w:val="00BD3764"/>
    <w:rsid w:val="00BD3C7F"/>
    <w:rsid w:val="00BD3DA3"/>
    <w:rsid w:val="00BD4455"/>
    <w:rsid w:val="00BD49BB"/>
    <w:rsid w:val="00BD49C6"/>
    <w:rsid w:val="00BD4CB4"/>
    <w:rsid w:val="00BD4CFC"/>
    <w:rsid w:val="00BD4DB1"/>
    <w:rsid w:val="00BD5177"/>
    <w:rsid w:val="00BD5252"/>
    <w:rsid w:val="00BD5520"/>
    <w:rsid w:val="00BD5784"/>
    <w:rsid w:val="00BD57C5"/>
    <w:rsid w:val="00BD59A3"/>
    <w:rsid w:val="00BD603D"/>
    <w:rsid w:val="00BD604C"/>
    <w:rsid w:val="00BD6162"/>
    <w:rsid w:val="00BD67E5"/>
    <w:rsid w:val="00BD6B0C"/>
    <w:rsid w:val="00BD6CBF"/>
    <w:rsid w:val="00BD6FFB"/>
    <w:rsid w:val="00BD7490"/>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4E7"/>
    <w:rsid w:val="00BE1972"/>
    <w:rsid w:val="00BE214C"/>
    <w:rsid w:val="00BE2228"/>
    <w:rsid w:val="00BE25F4"/>
    <w:rsid w:val="00BE2CEF"/>
    <w:rsid w:val="00BE2D8A"/>
    <w:rsid w:val="00BE343C"/>
    <w:rsid w:val="00BE3864"/>
    <w:rsid w:val="00BE38BD"/>
    <w:rsid w:val="00BE3B07"/>
    <w:rsid w:val="00BE3BED"/>
    <w:rsid w:val="00BE3DCB"/>
    <w:rsid w:val="00BE42B5"/>
    <w:rsid w:val="00BE44F2"/>
    <w:rsid w:val="00BE45D1"/>
    <w:rsid w:val="00BE4817"/>
    <w:rsid w:val="00BE4CB5"/>
    <w:rsid w:val="00BE4D47"/>
    <w:rsid w:val="00BE4D57"/>
    <w:rsid w:val="00BE4DAD"/>
    <w:rsid w:val="00BE5048"/>
    <w:rsid w:val="00BE530F"/>
    <w:rsid w:val="00BE5433"/>
    <w:rsid w:val="00BE54CA"/>
    <w:rsid w:val="00BE59A8"/>
    <w:rsid w:val="00BE59F8"/>
    <w:rsid w:val="00BE5D4C"/>
    <w:rsid w:val="00BE5E1B"/>
    <w:rsid w:val="00BE5EE9"/>
    <w:rsid w:val="00BE6061"/>
    <w:rsid w:val="00BE6124"/>
    <w:rsid w:val="00BE6572"/>
    <w:rsid w:val="00BE6759"/>
    <w:rsid w:val="00BE68CE"/>
    <w:rsid w:val="00BE68FA"/>
    <w:rsid w:val="00BE69F5"/>
    <w:rsid w:val="00BE6BA3"/>
    <w:rsid w:val="00BE6BAA"/>
    <w:rsid w:val="00BE786A"/>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72D"/>
    <w:rsid w:val="00BF294B"/>
    <w:rsid w:val="00BF2B41"/>
    <w:rsid w:val="00BF2D38"/>
    <w:rsid w:val="00BF2DF0"/>
    <w:rsid w:val="00BF31C7"/>
    <w:rsid w:val="00BF3458"/>
    <w:rsid w:val="00BF34EF"/>
    <w:rsid w:val="00BF36A7"/>
    <w:rsid w:val="00BF3C7D"/>
    <w:rsid w:val="00BF3FB0"/>
    <w:rsid w:val="00BF400D"/>
    <w:rsid w:val="00BF43B1"/>
    <w:rsid w:val="00BF45B8"/>
    <w:rsid w:val="00BF4627"/>
    <w:rsid w:val="00BF4BDA"/>
    <w:rsid w:val="00BF4C72"/>
    <w:rsid w:val="00BF4D46"/>
    <w:rsid w:val="00BF4D5B"/>
    <w:rsid w:val="00BF53B1"/>
    <w:rsid w:val="00BF5E12"/>
    <w:rsid w:val="00BF5F10"/>
    <w:rsid w:val="00BF611E"/>
    <w:rsid w:val="00BF616C"/>
    <w:rsid w:val="00BF67C1"/>
    <w:rsid w:val="00BF6A68"/>
    <w:rsid w:val="00BF6A9D"/>
    <w:rsid w:val="00BF6DC7"/>
    <w:rsid w:val="00BF70A6"/>
    <w:rsid w:val="00BF71D8"/>
    <w:rsid w:val="00BF7B4F"/>
    <w:rsid w:val="00BF7CDC"/>
    <w:rsid w:val="00BF7CF2"/>
    <w:rsid w:val="00BF7FF5"/>
    <w:rsid w:val="00C00048"/>
    <w:rsid w:val="00C007E0"/>
    <w:rsid w:val="00C00821"/>
    <w:rsid w:val="00C0089E"/>
    <w:rsid w:val="00C00ABC"/>
    <w:rsid w:val="00C00EC4"/>
    <w:rsid w:val="00C01005"/>
    <w:rsid w:val="00C012A1"/>
    <w:rsid w:val="00C013FA"/>
    <w:rsid w:val="00C0197D"/>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1F0"/>
    <w:rsid w:val="00C04259"/>
    <w:rsid w:val="00C04577"/>
    <w:rsid w:val="00C04AE5"/>
    <w:rsid w:val="00C04CFA"/>
    <w:rsid w:val="00C04F8A"/>
    <w:rsid w:val="00C055EE"/>
    <w:rsid w:val="00C0576D"/>
    <w:rsid w:val="00C058A6"/>
    <w:rsid w:val="00C05918"/>
    <w:rsid w:val="00C05EAC"/>
    <w:rsid w:val="00C06173"/>
    <w:rsid w:val="00C0632B"/>
    <w:rsid w:val="00C064DF"/>
    <w:rsid w:val="00C06633"/>
    <w:rsid w:val="00C06829"/>
    <w:rsid w:val="00C068FA"/>
    <w:rsid w:val="00C074C9"/>
    <w:rsid w:val="00C079F7"/>
    <w:rsid w:val="00C07D3B"/>
    <w:rsid w:val="00C07E74"/>
    <w:rsid w:val="00C10282"/>
    <w:rsid w:val="00C104FF"/>
    <w:rsid w:val="00C10AD9"/>
    <w:rsid w:val="00C10E44"/>
    <w:rsid w:val="00C1120F"/>
    <w:rsid w:val="00C1138E"/>
    <w:rsid w:val="00C1173C"/>
    <w:rsid w:val="00C117BE"/>
    <w:rsid w:val="00C12132"/>
    <w:rsid w:val="00C12625"/>
    <w:rsid w:val="00C126B6"/>
    <w:rsid w:val="00C1273D"/>
    <w:rsid w:val="00C12E87"/>
    <w:rsid w:val="00C13022"/>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8"/>
    <w:rsid w:val="00C173BD"/>
    <w:rsid w:val="00C17596"/>
    <w:rsid w:val="00C17C91"/>
    <w:rsid w:val="00C17EC6"/>
    <w:rsid w:val="00C17FE1"/>
    <w:rsid w:val="00C200FA"/>
    <w:rsid w:val="00C204CF"/>
    <w:rsid w:val="00C20585"/>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8B2"/>
    <w:rsid w:val="00C22D21"/>
    <w:rsid w:val="00C22DB5"/>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40"/>
    <w:rsid w:val="00C25F90"/>
    <w:rsid w:val="00C260DC"/>
    <w:rsid w:val="00C26576"/>
    <w:rsid w:val="00C266ED"/>
    <w:rsid w:val="00C267B8"/>
    <w:rsid w:val="00C26A20"/>
    <w:rsid w:val="00C27766"/>
    <w:rsid w:val="00C27D7B"/>
    <w:rsid w:val="00C3004C"/>
    <w:rsid w:val="00C300A8"/>
    <w:rsid w:val="00C30246"/>
    <w:rsid w:val="00C30282"/>
    <w:rsid w:val="00C3037E"/>
    <w:rsid w:val="00C30427"/>
    <w:rsid w:val="00C30734"/>
    <w:rsid w:val="00C30849"/>
    <w:rsid w:val="00C30D8A"/>
    <w:rsid w:val="00C30DA1"/>
    <w:rsid w:val="00C3193E"/>
    <w:rsid w:val="00C31AA6"/>
    <w:rsid w:val="00C31C21"/>
    <w:rsid w:val="00C31C91"/>
    <w:rsid w:val="00C31CA2"/>
    <w:rsid w:val="00C320C4"/>
    <w:rsid w:val="00C324D7"/>
    <w:rsid w:val="00C32581"/>
    <w:rsid w:val="00C328BF"/>
    <w:rsid w:val="00C329C7"/>
    <w:rsid w:val="00C32DC2"/>
    <w:rsid w:val="00C33415"/>
    <w:rsid w:val="00C3370B"/>
    <w:rsid w:val="00C337C9"/>
    <w:rsid w:val="00C3384E"/>
    <w:rsid w:val="00C33A26"/>
    <w:rsid w:val="00C33B1E"/>
    <w:rsid w:val="00C33F35"/>
    <w:rsid w:val="00C340EC"/>
    <w:rsid w:val="00C343BF"/>
    <w:rsid w:val="00C34553"/>
    <w:rsid w:val="00C34780"/>
    <w:rsid w:val="00C348CA"/>
    <w:rsid w:val="00C3497C"/>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4EA"/>
    <w:rsid w:val="00C40662"/>
    <w:rsid w:val="00C40BD7"/>
    <w:rsid w:val="00C40DC8"/>
    <w:rsid w:val="00C4104F"/>
    <w:rsid w:val="00C415D1"/>
    <w:rsid w:val="00C41CB7"/>
    <w:rsid w:val="00C41EE4"/>
    <w:rsid w:val="00C421E8"/>
    <w:rsid w:val="00C42267"/>
    <w:rsid w:val="00C4252E"/>
    <w:rsid w:val="00C425B4"/>
    <w:rsid w:val="00C42733"/>
    <w:rsid w:val="00C42EFE"/>
    <w:rsid w:val="00C435AB"/>
    <w:rsid w:val="00C437A0"/>
    <w:rsid w:val="00C43B0A"/>
    <w:rsid w:val="00C4418F"/>
    <w:rsid w:val="00C441C2"/>
    <w:rsid w:val="00C4422A"/>
    <w:rsid w:val="00C4423D"/>
    <w:rsid w:val="00C44948"/>
    <w:rsid w:val="00C4498F"/>
    <w:rsid w:val="00C449DC"/>
    <w:rsid w:val="00C44B7B"/>
    <w:rsid w:val="00C45595"/>
    <w:rsid w:val="00C4568E"/>
    <w:rsid w:val="00C45D1D"/>
    <w:rsid w:val="00C462D3"/>
    <w:rsid w:val="00C463A2"/>
    <w:rsid w:val="00C46A55"/>
    <w:rsid w:val="00C47167"/>
    <w:rsid w:val="00C476B3"/>
    <w:rsid w:val="00C47B54"/>
    <w:rsid w:val="00C503C3"/>
    <w:rsid w:val="00C509FF"/>
    <w:rsid w:val="00C50D29"/>
    <w:rsid w:val="00C510D4"/>
    <w:rsid w:val="00C51197"/>
    <w:rsid w:val="00C5156F"/>
    <w:rsid w:val="00C51C80"/>
    <w:rsid w:val="00C51EE3"/>
    <w:rsid w:val="00C52401"/>
    <w:rsid w:val="00C5257A"/>
    <w:rsid w:val="00C525A0"/>
    <w:rsid w:val="00C52993"/>
    <w:rsid w:val="00C529F0"/>
    <w:rsid w:val="00C52A29"/>
    <w:rsid w:val="00C52C50"/>
    <w:rsid w:val="00C52D90"/>
    <w:rsid w:val="00C52E95"/>
    <w:rsid w:val="00C52FFA"/>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CCB"/>
    <w:rsid w:val="00C56F4F"/>
    <w:rsid w:val="00C57152"/>
    <w:rsid w:val="00C57301"/>
    <w:rsid w:val="00C57329"/>
    <w:rsid w:val="00C57461"/>
    <w:rsid w:val="00C5749F"/>
    <w:rsid w:val="00C57594"/>
    <w:rsid w:val="00C57889"/>
    <w:rsid w:val="00C578DB"/>
    <w:rsid w:val="00C578DF"/>
    <w:rsid w:val="00C57998"/>
    <w:rsid w:val="00C60479"/>
    <w:rsid w:val="00C605D8"/>
    <w:rsid w:val="00C6088D"/>
    <w:rsid w:val="00C608A3"/>
    <w:rsid w:val="00C608C4"/>
    <w:rsid w:val="00C60D11"/>
    <w:rsid w:val="00C60F37"/>
    <w:rsid w:val="00C61071"/>
    <w:rsid w:val="00C611ED"/>
    <w:rsid w:val="00C61901"/>
    <w:rsid w:val="00C619C4"/>
    <w:rsid w:val="00C61A4C"/>
    <w:rsid w:val="00C61D22"/>
    <w:rsid w:val="00C61FF0"/>
    <w:rsid w:val="00C6200C"/>
    <w:rsid w:val="00C6221C"/>
    <w:rsid w:val="00C6293E"/>
    <w:rsid w:val="00C62A19"/>
    <w:rsid w:val="00C62BB6"/>
    <w:rsid w:val="00C62BF3"/>
    <w:rsid w:val="00C62D07"/>
    <w:rsid w:val="00C62D5E"/>
    <w:rsid w:val="00C633AA"/>
    <w:rsid w:val="00C6348C"/>
    <w:rsid w:val="00C634C2"/>
    <w:rsid w:val="00C638AE"/>
    <w:rsid w:val="00C63C2C"/>
    <w:rsid w:val="00C63C75"/>
    <w:rsid w:val="00C63E1D"/>
    <w:rsid w:val="00C6415D"/>
    <w:rsid w:val="00C641ED"/>
    <w:rsid w:val="00C643AC"/>
    <w:rsid w:val="00C646A0"/>
    <w:rsid w:val="00C64D76"/>
    <w:rsid w:val="00C64E49"/>
    <w:rsid w:val="00C64E91"/>
    <w:rsid w:val="00C6536D"/>
    <w:rsid w:val="00C65439"/>
    <w:rsid w:val="00C654C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07AC"/>
    <w:rsid w:val="00C71631"/>
    <w:rsid w:val="00C71815"/>
    <w:rsid w:val="00C7183F"/>
    <w:rsid w:val="00C71906"/>
    <w:rsid w:val="00C71C70"/>
    <w:rsid w:val="00C72333"/>
    <w:rsid w:val="00C7241B"/>
    <w:rsid w:val="00C724E8"/>
    <w:rsid w:val="00C72730"/>
    <w:rsid w:val="00C7301F"/>
    <w:rsid w:val="00C734D8"/>
    <w:rsid w:val="00C737D8"/>
    <w:rsid w:val="00C73926"/>
    <w:rsid w:val="00C73B71"/>
    <w:rsid w:val="00C73C17"/>
    <w:rsid w:val="00C7415E"/>
    <w:rsid w:val="00C742DE"/>
    <w:rsid w:val="00C74395"/>
    <w:rsid w:val="00C7458B"/>
    <w:rsid w:val="00C7468D"/>
    <w:rsid w:val="00C74768"/>
    <w:rsid w:val="00C74879"/>
    <w:rsid w:val="00C74DA5"/>
    <w:rsid w:val="00C75487"/>
    <w:rsid w:val="00C7553F"/>
    <w:rsid w:val="00C7578D"/>
    <w:rsid w:val="00C75861"/>
    <w:rsid w:val="00C7592C"/>
    <w:rsid w:val="00C75A33"/>
    <w:rsid w:val="00C75F20"/>
    <w:rsid w:val="00C75FC0"/>
    <w:rsid w:val="00C761F7"/>
    <w:rsid w:val="00C76219"/>
    <w:rsid w:val="00C7626F"/>
    <w:rsid w:val="00C764D5"/>
    <w:rsid w:val="00C7658E"/>
    <w:rsid w:val="00C766CC"/>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C9"/>
    <w:rsid w:val="00C82753"/>
    <w:rsid w:val="00C828C5"/>
    <w:rsid w:val="00C82A17"/>
    <w:rsid w:val="00C8323A"/>
    <w:rsid w:val="00C8361A"/>
    <w:rsid w:val="00C83D1E"/>
    <w:rsid w:val="00C83E5E"/>
    <w:rsid w:val="00C84051"/>
    <w:rsid w:val="00C84309"/>
    <w:rsid w:val="00C8463B"/>
    <w:rsid w:val="00C84D84"/>
    <w:rsid w:val="00C84F18"/>
    <w:rsid w:val="00C8521C"/>
    <w:rsid w:val="00C85AA2"/>
    <w:rsid w:val="00C85DEB"/>
    <w:rsid w:val="00C85EC0"/>
    <w:rsid w:val="00C86419"/>
    <w:rsid w:val="00C8678C"/>
    <w:rsid w:val="00C86893"/>
    <w:rsid w:val="00C87158"/>
    <w:rsid w:val="00C873AE"/>
    <w:rsid w:val="00C874DE"/>
    <w:rsid w:val="00C87803"/>
    <w:rsid w:val="00C902B1"/>
    <w:rsid w:val="00C903D8"/>
    <w:rsid w:val="00C90955"/>
    <w:rsid w:val="00C90B29"/>
    <w:rsid w:val="00C90C30"/>
    <w:rsid w:val="00C90D85"/>
    <w:rsid w:val="00C90F88"/>
    <w:rsid w:val="00C9101E"/>
    <w:rsid w:val="00C91155"/>
    <w:rsid w:val="00C91244"/>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29F7"/>
    <w:rsid w:val="00C932D7"/>
    <w:rsid w:val="00C93319"/>
    <w:rsid w:val="00C9345C"/>
    <w:rsid w:val="00C93A2E"/>
    <w:rsid w:val="00C93D53"/>
    <w:rsid w:val="00C93E87"/>
    <w:rsid w:val="00C93F22"/>
    <w:rsid w:val="00C93FC2"/>
    <w:rsid w:val="00C93FF2"/>
    <w:rsid w:val="00C94178"/>
    <w:rsid w:val="00C94C7B"/>
    <w:rsid w:val="00C94DB9"/>
    <w:rsid w:val="00C9501D"/>
    <w:rsid w:val="00C950A6"/>
    <w:rsid w:val="00C950C0"/>
    <w:rsid w:val="00C95474"/>
    <w:rsid w:val="00C95715"/>
    <w:rsid w:val="00C9597A"/>
    <w:rsid w:val="00C95CAF"/>
    <w:rsid w:val="00C95ED1"/>
    <w:rsid w:val="00C96004"/>
    <w:rsid w:val="00C96258"/>
    <w:rsid w:val="00C966BE"/>
    <w:rsid w:val="00C97426"/>
    <w:rsid w:val="00C97761"/>
    <w:rsid w:val="00C97777"/>
    <w:rsid w:val="00C977B2"/>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E4E"/>
    <w:rsid w:val="00CB0F05"/>
    <w:rsid w:val="00CB0FE9"/>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9A"/>
    <w:rsid w:val="00CC0DBD"/>
    <w:rsid w:val="00CC145D"/>
    <w:rsid w:val="00CC1B7C"/>
    <w:rsid w:val="00CC1E9E"/>
    <w:rsid w:val="00CC212F"/>
    <w:rsid w:val="00CC228B"/>
    <w:rsid w:val="00CC22B3"/>
    <w:rsid w:val="00CC2652"/>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6F7D"/>
    <w:rsid w:val="00CC734A"/>
    <w:rsid w:val="00CC7361"/>
    <w:rsid w:val="00CC7BFA"/>
    <w:rsid w:val="00CD0445"/>
    <w:rsid w:val="00CD04B3"/>
    <w:rsid w:val="00CD0569"/>
    <w:rsid w:val="00CD060E"/>
    <w:rsid w:val="00CD09A5"/>
    <w:rsid w:val="00CD0BE5"/>
    <w:rsid w:val="00CD1052"/>
    <w:rsid w:val="00CD107C"/>
    <w:rsid w:val="00CD10D5"/>
    <w:rsid w:val="00CD13D6"/>
    <w:rsid w:val="00CD1863"/>
    <w:rsid w:val="00CD18E3"/>
    <w:rsid w:val="00CD195E"/>
    <w:rsid w:val="00CD1F9F"/>
    <w:rsid w:val="00CD2188"/>
    <w:rsid w:val="00CD2327"/>
    <w:rsid w:val="00CD23E3"/>
    <w:rsid w:val="00CD26FD"/>
    <w:rsid w:val="00CD2746"/>
    <w:rsid w:val="00CD2A89"/>
    <w:rsid w:val="00CD33F1"/>
    <w:rsid w:val="00CD3848"/>
    <w:rsid w:val="00CD38C9"/>
    <w:rsid w:val="00CD3F6C"/>
    <w:rsid w:val="00CD404D"/>
    <w:rsid w:val="00CD41AD"/>
    <w:rsid w:val="00CD41B9"/>
    <w:rsid w:val="00CD4447"/>
    <w:rsid w:val="00CD446F"/>
    <w:rsid w:val="00CD476A"/>
    <w:rsid w:val="00CD4819"/>
    <w:rsid w:val="00CD49DD"/>
    <w:rsid w:val="00CD4BF3"/>
    <w:rsid w:val="00CD5291"/>
    <w:rsid w:val="00CD5847"/>
    <w:rsid w:val="00CD5A05"/>
    <w:rsid w:val="00CD5DDA"/>
    <w:rsid w:val="00CD5E55"/>
    <w:rsid w:val="00CD5E86"/>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2FF"/>
    <w:rsid w:val="00CE234A"/>
    <w:rsid w:val="00CE2539"/>
    <w:rsid w:val="00CE2977"/>
    <w:rsid w:val="00CE29A5"/>
    <w:rsid w:val="00CE2E71"/>
    <w:rsid w:val="00CE2EAD"/>
    <w:rsid w:val="00CE3115"/>
    <w:rsid w:val="00CE33DC"/>
    <w:rsid w:val="00CE34DC"/>
    <w:rsid w:val="00CE42E3"/>
    <w:rsid w:val="00CE4306"/>
    <w:rsid w:val="00CE430A"/>
    <w:rsid w:val="00CE43C0"/>
    <w:rsid w:val="00CE452F"/>
    <w:rsid w:val="00CE4A79"/>
    <w:rsid w:val="00CE4D0E"/>
    <w:rsid w:val="00CE4E06"/>
    <w:rsid w:val="00CE4FE3"/>
    <w:rsid w:val="00CE4FE9"/>
    <w:rsid w:val="00CE50DC"/>
    <w:rsid w:val="00CE547B"/>
    <w:rsid w:val="00CE5D05"/>
    <w:rsid w:val="00CE5D29"/>
    <w:rsid w:val="00CE5F66"/>
    <w:rsid w:val="00CE6182"/>
    <w:rsid w:val="00CE66B7"/>
    <w:rsid w:val="00CE6823"/>
    <w:rsid w:val="00CE6892"/>
    <w:rsid w:val="00CE69A7"/>
    <w:rsid w:val="00CE727C"/>
    <w:rsid w:val="00CE7308"/>
    <w:rsid w:val="00CE778E"/>
    <w:rsid w:val="00CE7A20"/>
    <w:rsid w:val="00CE7A51"/>
    <w:rsid w:val="00CF0323"/>
    <w:rsid w:val="00CF0937"/>
    <w:rsid w:val="00CF0E38"/>
    <w:rsid w:val="00CF1073"/>
    <w:rsid w:val="00CF1232"/>
    <w:rsid w:val="00CF14D5"/>
    <w:rsid w:val="00CF15C3"/>
    <w:rsid w:val="00CF17DA"/>
    <w:rsid w:val="00CF1985"/>
    <w:rsid w:val="00CF19EE"/>
    <w:rsid w:val="00CF1AC7"/>
    <w:rsid w:val="00CF1B22"/>
    <w:rsid w:val="00CF1BB8"/>
    <w:rsid w:val="00CF1BE5"/>
    <w:rsid w:val="00CF1C9C"/>
    <w:rsid w:val="00CF1D06"/>
    <w:rsid w:val="00CF1E8E"/>
    <w:rsid w:val="00CF1FFF"/>
    <w:rsid w:val="00CF2027"/>
    <w:rsid w:val="00CF2101"/>
    <w:rsid w:val="00CF21A6"/>
    <w:rsid w:val="00CF2A20"/>
    <w:rsid w:val="00CF2B00"/>
    <w:rsid w:val="00CF2C31"/>
    <w:rsid w:val="00CF30B9"/>
    <w:rsid w:val="00CF30BC"/>
    <w:rsid w:val="00CF3246"/>
    <w:rsid w:val="00CF34FA"/>
    <w:rsid w:val="00CF365A"/>
    <w:rsid w:val="00CF3701"/>
    <w:rsid w:val="00CF3967"/>
    <w:rsid w:val="00CF3C17"/>
    <w:rsid w:val="00CF3C9E"/>
    <w:rsid w:val="00CF42ED"/>
    <w:rsid w:val="00CF4424"/>
    <w:rsid w:val="00CF460B"/>
    <w:rsid w:val="00CF47F9"/>
    <w:rsid w:val="00CF4871"/>
    <w:rsid w:val="00CF4946"/>
    <w:rsid w:val="00CF4A8B"/>
    <w:rsid w:val="00CF4AB5"/>
    <w:rsid w:val="00CF4CFC"/>
    <w:rsid w:val="00CF4E30"/>
    <w:rsid w:val="00CF4F73"/>
    <w:rsid w:val="00CF4FAE"/>
    <w:rsid w:val="00CF52CC"/>
    <w:rsid w:val="00CF53B9"/>
    <w:rsid w:val="00CF540A"/>
    <w:rsid w:val="00CF5557"/>
    <w:rsid w:val="00CF583F"/>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5AE"/>
    <w:rsid w:val="00D006E8"/>
    <w:rsid w:val="00D007AD"/>
    <w:rsid w:val="00D007B5"/>
    <w:rsid w:val="00D008CE"/>
    <w:rsid w:val="00D00D9B"/>
    <w:rsid w:val="00D00FDA"/>
    <w:rsid w:val="00D0125A"/>
    <w:rsid w:val="00D01296"/>
    <w:rsid w:val="00D0138A"/>
    <w:rsid w:val="00D0169E"/>
    <w:rsid w:val="00D01BFD"/>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8FD"/>
    <w:rsid w:val="00D059D1"/>
    <w:rsid w:val="00D05A46"/>
    <w:rsid w:val="00D05C31"/>
    <w:rsid w:val="00D05DFF"/>
    <w:rsid w:val="00D05E82"/>
    <w:rsid w:val="00D062D3"/>
    <w:rsid w:val="00D06355"/>
    <w:rsid w:val="00D06400"/>
    <w:rsid w:val="00D065B3"/>
    <w:rsid w:val="00D066EB"/>
    <w:rsid w:val="00D06CC9"/>
    <w:rsid w:val="00D06DE9"/>
    <w:rsid w:val="00D0712B"/>
    <w:rsid w:val="00D0740D"/>
    <w:rsid w:val="00D07520"/>
    <w:rsid w:val="00D07A39"/>
    <w:rsid w:val="00D07B88"/>
    <w:rsid w:val="00D07CE8"/>
    <w:rsid w:val="00D07DC3"/>
    <w:rsid w:val="00D07F12"/>
    <w:rsid w:val="00D1021B"/>
    <w:rsid w:val="00D10473"/>
    <w:rsid w:val="00D10D1C"/>
    <w:rsid w:val="00D11308"/>
    <w:rsid w:val="00D1165C"/>
    <w:rsid w:val="00D11744"/>
    <w:rsid w:val="00D1192F"/>
    <w:rsid w:val="00D11A99"/>
    <w:rsid w:val="00D11B77"/>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2E5"/>
    <w:rsid w:val="00D14355"/>
    <w:rsid w:val="00D143B0"/>
    <w:rsid w:val="00D14735"/>
    <w:rsid w:val="00D147E7"/>
    <w:rsid w:val="00D14918"/>
    <w:rsid w:val="00D14ADC"/>
    <w:rsid w:val="00D14EF9"/>
    <w:rsid w:val="00D14F91"/>
    <w:rsid w:val="00D151F7"/>
    <w:rsid w:val="00D1579D"/>
    <w:rsid w:val="00D15A7A"/>
    <w:rsid w:val="00D15CA3"/>
    <w:rsid w:val="00D15D61"/>
    <w:rsid w:val="00D16146"/>
    <w:rsid w:val="00D16171"/>
    <w:rsid w:val="00D16644"/>
    <w:rsid w:val="00D16B60"/>
    <w:rsid w:val="00D16BDC"/>
    <w:rsid w:val="00D16EC3"/>
    <w:rsid w:val="00D17295"/>
    <w:rsid w:val="00D17ABE"/>
    <w:rsid w:val="00D17BFA"/>
    <w:rsid w:val="00D20230"/>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E3B"/>
    <w:rsid w:val="00D2438E"/>
    <w:rsid w:val="00D2441A"/>
    <w:rsid w:val="00D2447F"/>
    <w:rsid w:val="00D24D2E"/>
    <w:rsid w:val="00D24E68"/>
    <w:rsid w:val="00D25322"/>
    <w:rsid w:val="00D2540B"/>
    <w:rsid w:val="00D25763"/>
    <w:rsid w:val="00D25984"/>
    <w:rsid w:val="00D25A32"/>
    <w:rsid w:val="00D26207"/>
    <w:rsid w:val="00D2636E"/>
    <w:rsid w:val="00D265D7"/>
    <w:rsid w:val="00D2674D"/>
    <w:rsid w:val="00D26797"/>
    <w:rsid w:val="00D268D0"/>
    <w:rsid w:val="00D268E2"/>
    <w:rsid w:val="00D26CCC"/>
    <w:rsid w:val="00D26FDB"/>
    <w:rsid w:val="00D271E5"/>
    <w:rsid w:val="00D273C5"/>
    <w:rsid w:val="00D273D5"/>
    <w:rsid w:val="00D27437"/>
    <w:rsid w:val="00D27D99"/>
    <w:rsid w:val="00D27E58"/>
    <w:rsid w:val="00D30097"/>
    <w:rsid w:val="00D305B3"/>
    <w:rsid w:val="00D30744"/>
    <w:rsid w:val="00D30D08"/>
    <w:rsid w:val="00D30EF2"/>
    <w:rsid w:val="00D313A0"/>
    <w:rsid w:val="00D31637"/>
    <w:rsid w:val="00D3182B"/>
    <w:rsid w:val="00D31FA1"/>
    <w:rsid w:val="00D32247"/>
    <w:rsid w:val="00D326C2"/>
    <w:rsid w:val="00D32B4D"/>
    <w:rsid w:val="00D331BF"/>
    <w:rsid w:val="00D333C9"/>
    <w:rsid w:val="00D333EB"/>
    <w:rsid w:val="00D3344B"/>
    <w:rsid w:val="00D3367D"/>
    <w:rsid w:val="00D33963"/>
    <w:rsid w:val="00D33AAF"/>
    <w:rsid w:val="00D33AD0"/>
    <w:rsid w:val="00D33B69"/>
    <w:rsid w:val="00D33C72"/>
    <w:rsid w:val="00D33E15"/>
    <w:rsid w:val="00D340C1"/>
    <w:rsid w:val="00D342E1"/>
    <w:rsid w:val="00D34376"/>
    <w:rsid w:val="00D34794"/>
    <w:rsid w:val="00D34F90"/>
    <w:rsid w:val="00D34FD4"/>
    <w:rsid w:val="00D355A1"/>
    <w:rsid w:val="00D35AC0"/>
    <w:rsid w:val="00D36860"/>
    <w:rsid w:val="00D37432"/>
    <w:rsid w:val="00D374F4"/>
    <w:rsid w:val="00D37602"/>
    <w:rsid w:val="00D3762C"/>
    <w:rsid w:val="00D3769B"/>
    <w:rsid w:val="00D378AD"/>
    <w:rsid w:val="00D3792A"/>
    <w:rsid w:val="00D37C30"/>
    <w:rsid w:val="00D37DC8"/>
    <w:rsid w:val="00D37E73"/>
    <w:rsid w:val="00D40065"/>
    <w:rsid w:val="00D4013E"/>
    <w:rsid w:val="00D4064B"/>
    <w:rsid w:val="00D40762"/>
    <w:rsid w:val="00D407C1"/>
    <w:rsid w:val="00D40CEF"/>
    <w:rsid w:val="00D40D9E"/>
    <w:rsid w:val="00D40DDF"/>
    <w:rsid w:val="00D40E4B"/>
    <w:rsid w:val="00D4100D"/>
    <w:rsid w:val="00D41048"/>
    <w:rsid w:val="00D41094"/>
    <w:rsid w:val="00D411FE"/>
    <w:rsid w:val="00D414D9"/>
    <w:rsid w:val="00D4152C"/>
    <w:rsid w:val="00D41EF5"/>
    <w:rsid w:val="00D420AF"/>
    <w:rsid w:val="00D42202"/>
    <w:rsid w:val="00D422FF"/>
    <w:rsid w:val="00D423F7"/>
    <w:rsid w:val="00D427AC"/>
    <w:rsid w:val="00D42873"/>
    <w:rsid w:val="00D42919"/>
    <w:rsid w:val="00D42C4D"/>
    <w:rsid w:val="00D42D6A"/>
    <w:rsid w:val="00D42DCB"/>
    <w:rsid w:val="00D430CE"/>
    <w:rsid w:val="00D431D7"/>
    <w:rsid w:val="00D431E1"/>
    <w:rsid w:val="00D436D3"/>
    <w:rsid w:val="00D438E1"/>
    <w:rsid w:val="00D43959"/>
    <w:rsid w:val="00D439E1"/>
    <w:rsid w:val="00D43C2E"/>
    <w:rsid w:val="00D43DF4"/>
    <w:rsid w:val="00D43EC9"/>
    <w:rsid w:val="00D44138"/>
    <w:rsid w:val="00D4423E"/>
    <w:rsid w:val="00D444AB"/>
    <w:rsid w:val="00D44D03"/>
    <w:rsid w:val="00D44D6F"/>
    <w:rsid w:val="00D44E5C"/>
    <w:rsid w:val="00D4547B"/>
    <w:rsid w:val="00D45547"/>
    <w:rsid w:val="00D460A8"/>
    <w:rsid w:val="00D460CE"/>
    <w:rsid w:val="00D46398"/>
    <w:rsid w:val="00D46412"/>
    <w:rsid w:val="00D46441"/>
    <w:rsid w:val="00D46839"/>
    <w:rsid w:val="00D46B57"/>
    <w:rsid w:val="00D46BE2"/>
    <w:rsid w:val="00D46D31"/>
    <w:rsid w:val="00D46E9E"/>
    <w:rsid w:val="00D46F9C"/>
    <w:rsid w:val="00D47651"/>
    <w:rsid w:val="00D47763"/>
    <w:rsid w:val="00D4793D"/>
    <w:rsid w:val="00D47A56"/>
    <w:rsid w:val="00D47C7E"/>
    <w:rsid w:val="00D47D55"/>
    <w:rsid w:val="00D47D7E"/>
    <w:rsid w:val="00D500C2"/>
    <w:rsid w:val="00D5012A"/>
    <w:rsid w:val="00D50471"/>
    <w:rsid w:val="00D505F8"/>
    <w:rsid w:val="00D509CF"/>
    <w:rsid w:val="00D50AB8"/>
    <w:rsid w:val="00D51948"/>
    <w:rsid w:val="00D51A61"/>
    <w:rsid w:val="00D51D18"/>
    <w:rsid w:val="00D51DBE"/>
    <w:rsid w:val="00D51E6F"/>
    <w:rsid w:val="00D51F4A"/>
    <w:rsid w:val="00D521D3"/>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AAC"/>
    <w:rsid w:val="00D54B93"/>
    <w:rsid w:val="00D550DC"/>
    <w:rsid w:val="00D5510A"/>
    <w:rsid w:val="00D552ED"/>
    <w:rsid w:val="00D5543B"/>
    <w:rsid w:val="00D559CC"/>
    <w:rsid w:val="00D55BDD"/>
    <w:rsid w:val="00D55CDE"/>
    <w:rsid w:val="00D56536"/>
    <w:rsid w:val="00D5655E"/>
    <w:rsid w:val="00D56A5D"/>
    <w:rsid w:val="00D572B9"/>
    <w:rsid w:val="00D57372"/>
    <w:rsid w:val="00D577DD"/>
    <w:rsid w:val="00D57B45"/>
    <w:rsid w:val="00D57FD0"/>
    <w:rsid w:val="00D600C2"/>
    <w:rsid w:val="00D603FF"/>
    <w:rsid w:val="00D605C9"/>
    <w:rsid w:val="00D606FE"/>
    <w:rsid w:val="00D60866"/>
    <w:rsid w:val="00D60A13"/>
    <w:rsid w:val="00D60CAE"/>
    <w:rsid w:val="00D60F4B"/>
    <w:rsid w:val="00D60FAC"/>
    <w:rsid w:val="00D6116E"/>
    <w:rsid w:val="00D6126B"/>
    <w:rsid w:val="00D6157A"/>
    <w:rsid w:val="00D61714"/>
    <w:rsid w:val="00D617A7"/>
    <w:rsid w:val="00D61844"/>
    <w:rsid w:val="00D6189E"/>
    <w:rsid w:val="00D61AFA"/>
    <w:rsid w:val="00D61C9D"/>
    <w:rsid w:val="00D61E0A"/>
    <w:rsid w:val="00D62356"/>
    <w:rsid w:val="00D626A8"/>
    <w:rsid w:val="00D626E1"/>
    <w:rsid w:val="00D62AA5"/>
    <w:rsid w:val="00D62B96"/>
    <w:rsid w:val="00D62D92"/>
    <w:rsid w:val="00D62DBB"/>
    <w:rsid w:val="00D630C3"/>
    <w:rsid w:val="00D634F1"/>
    <w:rsid w:val="00D634FE"/>
    <w:rsid w:val="00D63754"/>
    <w:rsid w:val="00D6385B"/>
    <w:rsid w:val="00D638FD"/>
    <w:rsid w:val="00D63B59"/>
    <w:rsid w:val="00D63C3F"/>
    <w:rsid w:val="00D63DCF"/>
    <w:rsid w:val="00D63FF3"/>
    <w:rsid w:val="00D64544"/>
    <w:rsid w:val="00D64853"/>
    <w:rsid w:val="00D64D48"/>
    <w:rsid w:val="00D650BC"/>
    <w:rsid w:val="00D6546B"/>
    <w:rsid w:val="00D656CD"/>
    <w:rsid w:val="00D6578D"/>
    <w:rsid w:val="00D65880"/>
    <w:rsid w:val="00D65ACD"/>
    <w:rsid w:val="00D65F71"/>
    <w:rsid w:val="00D663D9"/>
    <w:rsid w:val="00D665C5"/>
    <w:rsid w:val="00D66713"/>
    <w:rsid w:val="00D66857"/>
    <w:rsid w:val="00D66B75"/>
    <w:rsid w:val="00D66C96"/>
    <w:rsid w:val="00D66E01"/>
    <w:rsid w:val="00D66F5A"/>
    <w:rsid w:val="00D6718E"/>
    <w:rsid w:val="00D672DD"/>
    <w:rsid w:val="00D6732D"/>
    <w:rsid w:val="00D674AE"/>
    <w:rsid w:val="00D676EE"/>
    <w:rsid w:val="00D67B20"/>
    <w:rsid w:val="00D67DB1"/>
    <w:rsid w:val="00D67DDC"/>
    <w:rsid w:val="00D70048"/>
    <w:rsid w:val="00D7011B"/>
    <w:rsid w:val="00D705BD"/>
    <w:rsid w:val="00D706C4"/>
    <w:rsid w:val="00D707DD"/>
    <w:rsid w:val="00D70B4F"/>
    <w:rsid w:val="00D70F63"/>
    <w:rsid w:val="00D71328"/>
    <w:rsid w:val="00D715AC"/>
    <w:rsid w:val="00D716B9"/>
    <w:rsid w:val="00D719C2"/>
    <w:rsid w:val="00D71B58"/>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CBF"/>
    <w:rsid w:val="00D74041"/>
    <w:rsid w:val="00D74062"/>
    <w:rsid w:val="00D7430D"/>
    <w:rsid w:val="00D74BED"/>
    <w:rsid w:val="00D74EEB"/>
    <w:rsid w:val="00D74F41"/>
    <w:rsid w:val="00D75C1F"/>
    <w:rsid w:val="00D75DA9"/>
    <w:rsid w:val="00D75E09"/>
    <w:rsid w:val="00D75E85"/>
    <w:rsid w:val="00D75F1F"/>
    <w:rsid w:val="00D75F92"/>
    <w:rsid w:val="00D76415"/>
    <w:rsid w:val="00D76445"/>
    <w:rsid w:val="00D76749"/>
    <w:rsid w:val="00D76874"/>
    <w:rsid w:val="00D76AE0"/>
    <w:rsid w:val="00D76C87"/>
    <w:rsid w:val="00D76E22"/>
    <w:rsid w:val="00D76E41"/>
    <w:rsid w:val="00D771B6"/>
    <w:rsid w:val="00D7738B"/>
    <w:rsid w:val="00D7765C"/>
    <w:rsid w:val="00D7796F"/>
    <w:rsid w:val="00D77C05"/>
    <w:rsid w:val="00D80055"/>
    <w:rsid w:val="00D80313"/>
    <w:rsid w:val="00D8081D"/>
    <w:rsid w:val="00D80837"/>
    <w:rsid w:val="00D80E05"/>
    <w:rsid w:val="00D8149D"/>
    <w:rsid w:val="00D81519"/>
    <w:rsid w:val="00D81D49"/>
    <w:rsid w:val="00D82680"/>
    <w:rsid w:val="00D82BC7"/>
    <w:rsid w:val="00D82D71"/>
    <w:rsid w:val="00D8338B"/>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B1B"/>
    <w:rsid w:val="00D91CB6"/>
    <w:rsid w:val="00D91E5D"/>
    <w:rsid w:val="00D924BB"/>
    <w:rsid w:val="00D925CA"/>
    <w:rsid w:val="00D927FE"/>
    <w:rsid w:val="00D92813"/>
    <w:rsid w:val="00D9290C"/>
    <w:rsid w:val="00D92971"/>
    <w:rsid w:val="00D92BFB"/>
    <w:rsid w:val="00D92CAF"/>
    <w:rsid w:val="00D92D73"/>
    <w:rsid w:val="00D93186"/>
    <w:rsid w:val="00D93189"/>
    <w:rsid w:val="00D93243"/>
    <w:rsid w:val="00D9331F"/>
    <w:rsid w:val="00D93334"/>
    <w:rsid w:val="00D93384"/>
    <w:rsid w:val="00D936AE"/>
    <w:rsid w:val="00D937AB"/>
    <w:rsid w:val="00D93A84"/>
    <w:rsid w:val="00D93DF7"/>
    <w:rsid w:val="00D93E3F"/>
    <w:rsid w:val="00D93E43"/>
    <w:rsid w:val="00D93EBB"/>
    <w:rsid w:val="00D94748"/>
    <w:rsid w:val="00D9478D"/>
    <w:rsid w:val="00D94F9C"/>
    <w:rsid w:val="00D953AF"/>
    <w:rsid w:val="00D955EC"/>
    <w:rsid w:val="00D95642"/>
    <w:rsid w:val="00D957D6"/>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144"/>
    <w:rsid w:val="00DA2187"/>
    <w:rsid w:val="00DA234D"/>
    <w:rsid w:val="00DA269B"/>
    <w:rsid w:val="00DA28A8"/>
    <w:rsid w:val="00DA2A29"/>
    <w:rsid w:val="00DA2F79"/>
    <w:rsid w:val="00DA2F83"/>
    <w:rsid w:val="00DA300F"/>
    <w:rsid w:val="00DA30C0"/>
    <w:rsid w:val="00DA3167"/>
    <w:rsid w:val="00DA3168"/>
    <w:rsid w:val="00DA34ED"/>
    <w:rsid w:val="00DA369E"/>
    <w:rsid w:val="00DA372D"/>
    <w:rsid w:val="00DA394B"/>
    <w:rsid w:val="00DA3BBD"/>
    <w:rsid w:val="00DA3C19"/>
    <w:rsid w:val="00DA3EEB"/>
    <w:rsid w:val="00DA4834"/>
    <w:rsid w:val="00DA4D46"/>
    <w:rsid w:val="00DA507D"/>
    <w:rsid w:val="00DA5168"/>
    <w:rsid w:val="00DA53AC"/>
    <w:rsid w:val="00DA53E0"/>
    <w:rsid w:val="00DA5911"/>
    <w:rsid w:val="00DA595F"/>
    <w:rsid w:val="00DA59EF"/>
    <w:rsid w:val="00DA5CDA"/>
    <w:rsid w:val="00DA5D5C"/>
    <w:rsid w:val="00DA5EB7"/>
    <w:rsid w:val="00DA62CF"/>
    <w:rsid w:val="00DA62D7"/>
    <w:rsid w:val="00DA6560"/>
    <w:rsid w:val="00DA6933"/>
    <w:rsid w:val="00DA6D47"/>
    <w:rsid w:val="00DA6E10"/>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28"/>
    <w:rsid w:val="00DB1162"/>
    <w:rsid w:val="00DB1194"/>
    <w:rsid w:val="00DB16CA"/>
    <w:rsid w:val="00DB198D"/>
    <w:rsid w:val="00DB1A09"/>
    <w:rsid w:val="00DB1E02"/>
    <w:rsid w:val="00DB230F"/>
    <w:rsid w:val="00DB2312"/>
    <w:rsid w:val="00DB23BC"/>
    <w:rsid w:val="00DB2407"/>
    <w:rsid w:val="00DB3105"/>
    <w:rsid w:val="00DB33A5"/>
    <w:rsid w:val="00DB398E"/>
    <w:rsid w:val="00DB3D65"/>
    <w:rsid w:val="00DB4127"/>
    <w:rsid w:val="00DB42A1"/>
    <w:rsid w:val="00DB49A0"/>
    <w:rsid w:val="00DB4C1C"/>
    <w:rsid w:val="00DB4C95"/>
    <w:rsid w:val="00DB4CA6"/>
    <w:rsid w:val="00DB4DB7"/>
    <w:rsid w:val="00DB4E41"/>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05C"/>
    <w:rsid w:val="00DC1A47"/>
    <w:rsid w:val="00DC1B97"/>
    <w:rsid w:val="00DC1C2B"/>
    <w:rsid w:val="00DC1E19"/>
    <w:rsid w:val="00DC1F36"/>
    <w:rsid w:val="00DC211E"/>
    <w:rsid w:val="00DC2184"/>
    <w:rsid w:val="00DC2AAB"/>
    <w:rsid w:val="00DC2DA7"/>
    <w:rsid w:val="00DC2F23"/>
    <w:rsid w:val="00DC3168"/>
    <w:rsid w:val="00DC342A"/>
    <w:rsid w:val="00DC368E"/>
    <w:rsid w:val="00DC36A6"/>
    <w:rsid w:val="00DC37CD"/>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56"/>
    <w:rsid w:val="00DC7FCB"/>
    <w:rsid w:val="00DD0731"/>
    <w:rsid w:val="00DD07AC"/>
    <w:rsid w:val="00DD0C05"/>
    <w:rsid w:val="00DD0F4B"/>
    <w:rsid w:val="00DD152A"/>
    <w:rsid w:val="00DD1796"/>
    <w:rsid w:val="00DD17A7"/>
    <w:rsid w:val="00DD1C14"/>
    <w:rsid w:val="00DD1FFC"/>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592"/>
    <w:rsid w:val="00DD5658"/>
    <w:rsid w:val="00DD56A3"/>
    <w:rsid w:val="00DD58B4"/>
    <w:rsid w:val="00DD5CB8"/>
    <w:rsid w:val="00DD5D6A"/>
    <w:rsid w:val="00DD5D7B"/>
    <w:rsid w:val="00DD6071"/>
    <w:rsid w:val="00DD6351"/>
    <w:rsid w:val="00DD63A9"/>
    <w:rsid w:val="00DD63DA"/>
    <w:rsid w:val="00DD63DD"/>
    <w:rsid w:val="00DD645E"/>
    <w:rsid w:val="00DD649B"/>
    <w:rsid w:val="00DD6A0C"/>
    <w:rsid w:val="00DD6F4C"/>
    <w:rsid w:val="00DD73E6"/>
    <w:rsid w:val="00DD76CE"/>
    <w:rsid w:val="00DD793E"/>
    <w:rsid w:val="00DD79D0"/>
    <w:rsid w:val="00DD7B3C"/>
    <w:rsid w:val="00DD7EF3"/>
    <w:rsid w:val="00DD7FB9"/>
    <w:rsid w:val="00DE0244"/>
    <w:rsid w:val="00DE0653"/>
    <w:rsid w:val="00DE07EC"/>
    <w:rsid w:val="00DE0883"/>
    <w:rsid w:val="00DE0EFB"/>
    <w:rsid w:val="00DE132E"/>
    <w:rsid w:val="00DE134F"/>
    <w:rsid w:val="00DE286B"/>
    <w:rsid w:val="00DE2B06"/>
    <w:rsid w:val="00DE2E80"/>
    <w:rsid w:val="00DE3456"/>
    <w:rsid w:val="00DE35B7"/>
    <w:rsid w:val="00DE3888"/>
    <w:rsid w:val="00DE40FE"/>
    <w:rsid w:val="00DE4144"/>
    <w:rsid w:val="00DE4AA0"/>
    <w:rsid w:val="00DE4B8A"/>
    <w:rsid w:val="00DE4D78"/>
    <w:rsid w:val="00DE4ECC"/>
    <w:rsid w:val="00DE5066"/>
    <w:rsid w:val="00DE54B6"/>
    <w:rsid w:val="00DE552B"/>
    <w:rsid w:val="00DE5700"/>
    <w:rsid w:val="00DE5A67"/>
    <w:rsid w:val="00DE5C9F"/>
    <w:rsid w:val="00DE6164"/>
    <w:rsid w:val="00DE6365"/>
    <w:rsid w:val="00DE64E6"/>
    <w:rsid w:val="00DE64F6"/>
    <w:rsid w:val="00DE669E"/>
    <w:rsid w:val="00DE6A67"/>
    <w:rsid w:val="00DE6A6D"/>
    <w:rsid w:val="00DE6A9D"/>
    <w:rsid w:val="00DE6B20"/>
    <w:rsid w:val="00DE723D"/>
    <w:rsid w:val="00DE725D"/>
    <w:rsid w:val="00DE731D"/>
    <w:rsid w:val="00DE7535"/>
    <w:rsid w:val="00DE766C"/>
    <w:rsid w:val="00DE77E5"/>
    <w:rsid w:val="00DE7824"/>
    <w:rsid w:val="00DE7A62"/>
    <w:rsid w:val="00DE7B35"/>
    <w:rsid w:val="00DE7BB2"/>
    <w:rsid w:val="00DF012D"/>
    <w:rsid w:val="00DF0218"/>
    <w:rsid w:val="00DF02FD"/>
    <w:rsid w:val="00DF0305"/>
    <w:rsid w:val="00DF03E2"/>
    <w:rsid w:val="00DF0533"/>
    <w:rsid w:val="00DF0786"/>
    <w:rsid w:val="00DF0879"/>
    <w:rsid w:val="00DF0984"/>
    <w:rsid w:val="00DF0C6A"/>
    <w:rsid w:val="00DF11E3"/>
    <w:rsid w:val="00DF1261"/>
    <w:rsid w:val="00DF136A"/>
    <w:rsid w:val="00DF16B0"/>
    <w:rsid w:val="00DF1766"/>
    <w:rsid w:val="00DF1993"/>
    <w:rsid w:val="00DF1BFC"/>
    <w:rsid w:val="00DF1D91"/>
    <w:rsid w:val="00DF2825"/>
    <w:rsid w:val="00DF2AEB"/>
    <w:rsid w:val="00DF2BB8"/>
    <w:rsid w:val="00DF2CD7"/>
    <w:rsid w:val="00DF2FC3"/>
    <w:rsid w:val="00DF308A"/>
    <w:rsid w:val="00DF3425"/>
    <w:rsid w:val="00DF3427"/>
    <w:rsid w:val="00DF38C5"/>
    <w:rsid w:val="00DF3A3C"/>
    <w:rsid w:val="00DF3B58"/>
    <w:rsid w:val="00DF4777"/>
    <w:rsid w:val="00DF4C3C"/>
    <w:rsid w:val="00DF4E2F"/>
    <w:rsid w:val="00DF4FEF"/>
    <w:rsid w:val="00DF5110"/>
    <w:rsid w:val="00DF516E"/>
    <w:rsid w:val="00DF5221"/>
    <w:rsid w:val="00DF555D"/>
    <w:rsid w:val="00DF56D1"/>
    <w:rsid w:val="00DF5AD7"/>
    <w:rsid w:val="00DF5B9D"/>
    <w:rsid w:val="00DF5D98"/>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B72"/>
    <w:rsid w:val="00E00C5F"/>
    <w:rsid w:val="00E00CEE"/>
    <w:rsid w:val="00E00ED7"/>
    <w:rsid w:val="00E00F9E"/>
    <w:rsid w:val="00E01108"/>
    <w:rsid w:val="00E01124"/>
    <w:rsid w:val="00E013FD"/>
    <w:rsid w:val="00E01574"/>
    <w:rsid w:val="00E017E6"/>
    <w:rsid w:val="00E019F9"/>
    <w:rsid w:val="00E01ADB"/>
    <w:rsid w:val="00E01B4F"/>
    <w:rsid w:val="00E01EFC"/>
    <w:rsid w:val="00E020F3"/>
    <w:rsid w:val="00E02610"/>
    <w:rsid w:val="00E02680"/>
    <w:rsid w:val="00E029AD"/>
    <w:rsid w:val="00E02DEB"/>
    <w:rsid w:val="00E03096"/>
    <w:rsid w:val="00E03102"/>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70B1"/>
    <w:rsid w:val="00E07572"/>
    <w:rsid w:val="00E07706"/>
    <w:rsid w:val="00E07D8A"/>
    <w:rsid w:val="00E103B7"/>
    <w:rsid w:val="00E10643"/>
    <w:rsid w:val="00E10829"/>
    <w:rsid w:val="00E10D0E"/>
    <w:rsid w:val="00E11516"/>
    <w:rsid w:val="00E119B3"/>
    <w:rsid w:val="00E11D58"/>
    <w:rsid w:val="00E11DCC"/>
    <w:rsid w:val="00E11DE8"/>
    <w:rsid w:val="00E122D6"/>
    <w:rsid w:val="00E1249C"/>
    <w:rsid w:val="00E12591"/>
    <w:rsid w:val="00E12737"/>
    <w:rsid w:val="00E12CF6"/>
    <w:rsid w:val="00E12DB9"/>
    <w:rsid w:val="00E12F2F"/>
    <w:rsid w:val="00E13220"/>
    <w:rsid w:val="00E13A9E"/>
    <w:rsid w:val="00E13DFF"/>
    <w:rsid w:val="00E142FE"/>
    <w:rsid w:val="00E146E4"/>
    <w:rsid w:val="00E14D01"/>
    <w:rsid w:val="00E152A5"/>
    <w:rsid w:val="00E1595E"/>
    <w:rsid w:val="00E159C2"/>
    <w:rsid w:val="00E15C5A"/>
    <w:rsid w:val="00E15E09"/>
    <w:rsid w:val="00E16307"/>
    <w:rsid w:val="00E16382"/>
    <w:rsid w:val="00E16656"/>
    <w:rsid w:val="00E169C1"/>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A8"/>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E1C"/>
    <w:rsid w:val="00E26FFF"/>
    <w:rsid w:val="00E272D0"/>
    <w:rsid w:val="00E27603"/>
    <w:rsid w:val="00E2762A"/>
    <w:rsid w:val="00E279F5"/>
    <w:rsid w:val="00E27AB3"/>
    <w:rsid w:val="00E27AE1"/>
    <w:rsid w:val="00E27B9F"/>
    <w:rsid w:val="00E27DA1"/>
    <w:rsid w:val="00E30007"/>
    <w:rsid w:val="00E3022E"/>
    <w:rsid w:val="00E3050C"/>
    <w:rsid w:val="00E30B4A"/>
    <w:rsid w:val="00E30C06"/>
    <w:rsid w:val="00E30C0C"/>
    <w:rsid w:val="00E313A3"/>
    <w:rsid w:val="00E318BC"/>
    <w:rsid w:val="00E31D5F"/>
    <w:rsid w:val="00E32078"/>
    <w:rsid w:val="00E32141"/>
    <w:rsid w:val="00E321FE"/>
    <w:rsid w:val="00E32558"/>
    <w:rsid w:val="00E32585"/>
    <w:rsid w:val="00E32625"/>
    <w:rsid w:val="00E32A0F"/>
    <w:rsid w:val="00E32A31"/>
    <w:rsid w:val="00E32FBC"/>
    <w:rsid w:val="00E331A2"/>
    <w:rsid w:val="00E33593"/>
    <w:rsid w:val="00E33CAA"/>
    <w:rsid w:val="00E34105"/>
    <w:rsid w:val="00E34216"/>
    <w:rsid w:val="00E3463E"/>
    <w:rsid w:val="00E34991"/>
    <w:rsid w:val="00E34D49"/>
    <w:rsid w:val="00E34D5F"/>
    <w:rsid w:val="00E34DA7"/>
    <w:rsid w:val="00E34E12"/>
    <w:rsid w:val="00E34EB7"/>
    <w:rsid w:val="00E34EDA"/>
    <w:rsid w:val="00E3540E"/>
    <w:rsid w:val="00E35510"/>
    <w:rsid w:val="00E35AFF"/>
    <w:rsid w:val="00E360B7"/>
    <w:rsid w:val="00E36430"/>
    <w:rsid w:val="00E36A42"/>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89F"/>
    <w:rsid w:val="00E40A15"/>
    <w:rsid w:val="00E4133C"/>
    <w:rsid w:val="00E41A51"/>
    <w:rsid w:val="00E41D55"/>
    <w:rsid w:val="00E41FB5"/>
    <w:rsid w:val="00E42215"/>
    <w:rsid w:val="00E42349"/>
    <w:rsid w:val="00E42427"/>
    <w:rsid w:val="00E4270A"/>
    <w:rsid w:val="00E428C5"/>
    <w:rsid w:val="00E434C1"/>
    <w:rsid w:val="00E43C8F"/>
    <w:rsid w:val="00E43CB1"/>
    <w:rsid w:val="00E43D1D"/>
    <w:rsid w:val="00E44115"/>
    <w:rsid w:val="00E44133"/>
    <w:rsid w:val="00E449DD"/>
    <w:rsid w:val="00E44B31"/>
    <w:rsid w:val="00E44E89"/>
    <w:rsid w:val="00E44F36"/>
    <w:rsid w:val="00E45160"/>
    <w:rsid w:val="00E454D9"/>
    <w:rsid w:val="00E45919"/>
    <w:rsid w:val="00E45D81"/>
    <w:rsid w:val="00E45EB8"/>
    <w:rsid w:val="00E45F1E"/>
    <w:rsid w:val="00E46258"/>
    <w:rsid w:val="00E46482"/>
    <w:rsid w:val="00E4669C"/>
    <w:rsid w:val="00E46755"/>
    <w:rsid w:val="00E46C87"/>
    <w:rsid w:val="00E46D44"/>
    <w:rsid w:val="00E46E49"/>
    <w:rsid w:val="00E47580"/>
    <w:rsid w:val="00E4777F"/>
    <w:rsid w:val="00E477B1"/>
    <w:rsid w:val="00E4782D"/>
    <w:rsid w:val="00E478D3"/>
    <w:rsid w:val="00E47B2E"/>
    <w:rsid w:val="00E47BD3"/>
    <w:rsid w:val="00E47C63"/>
    <w:rsid w:val="00E47E3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10D"/>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A84"/>
    <w:rsid w:val="00E55AAB"/>
    <w:rsid w:val="00E55D8A"/>
    <w:rsid w:val="00E55E26"/>
    <w:rsid w:val="00E561C6"/>
    <w:rsid w:val="00E562A5"/>
    <w:rsid w:val="00E56339"/>
    <w:rsid w:val="00E56532"/>
    <w:rsid w:val="00E566E5"/>
    <w:rsid w:val="00E56711"/>
    <w:rsid w:val="00E567C9"/>
    <w:rsid w:val="00E56B10"/>
    <w:rsid w:val="00E571B0"/>
    <w:rsid w:val="00E572B0"/>
    <w:rsid w:val="00E577A3"/>
    <w:rsid w:val="00E5794A"/>
    <w:rsid w:val="00E57D4A"/>
    <w:rsid w:val="00E57F08"/>
    <w:rsid w:val="00E607CA"/>
    <w:rsid w:val="00E60992"/>
    <w:rsid w:val="00E60ABA"/>
    <w:rsid w:val="00E60D47"/>
    <w:rsid w:val="00E60D9F"/>
    <w:rsid w:val="00E60E3C"/>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AB6"/>
    <w:rsid w:val="00E63ADC"/>
    <w:rsid w:val="00E63E6F"/>
    <w:rsid w:val="00E63FAB"/>
    <w:rsid w:val="00E64005"/>
    <w:rsid w:val="00E6454B"/>
    <w:rsid w:val="00E6462C"/>
    <w:rsid w:val="00E646DE"/>
    <w:rsid w:val="00E64968"/>
    <w:rsid w:val="00E649FC"/>
    <w:rsid w:val="00E64AFE"/>
    <w:rsid w:val="00E64E63"/>
    <w:rsid w:val="00E64E6C"/>
    <w:rsid w:val="00E65044"/>
    <w:rsid w:val="00E65190"/>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325"/>
    <w:rsid w:val="00E70CED"/>
    <w:rsid w:val="00E70EAF"/>
    <w:rsid w:val="00E71220"/>
    <w:rsid w:val="00E715CC"/>
    <w:rsid w:val="00E7163F"/>
    <w:rsid w:val="00E71798"/>
    <w:rsid w:val="00E7187A"/>
    <w:rsid w:val="00E718CA"/>
    <w:rsid w:val="00E71A37"/>
    <w:rsid w:val="00E71AA5"/>
    <w:rsid w:val="00E71CAC"/>
    <w:rsid w:val="00E71D22"/>
    <w:rsid w:val="00E71EA5"/>
    <w:rsid w:val="00E72263"/>
    <w:rsid w:val="00E7247C"/>
    <w:rsid w:val="00E726A0"/>
    <w:rsid w:val="00E72E19"/>
    <w:rsid w:val="00E72F0F"/>
    <w:rsid w:val="00E72F34"/>
    <w:rsid w:val="00E7311F"/>
    <w:rsid w:val="00E73280"/>
    <w:rsid w:val="00E733AC"/>
    <w:rsid w:val="00E735A5"/>
    <w:rsid w:val="00E73723"/>
    <w:rsid w:val="00E73C44"/>
    <w:rsid w:val="00E73F7F"/>
    <w:rsid w:val="00E74156"/>
    <w:rsid w:val="00E74266"/>
    <w:rsid w:val="00E745F6"/>
    <w:rsid w:val="00E74744"/>
    <w:rsid w:val="00E748FA"/>
    <w:rsid w:val="00E749C6"/>
    <w:rsid w:val="00E74C6D"/>
    <w:rsid w:val="00E74D7E"/>
    <w:rsid w:val="00E74DCB"/>
    <w:rsid w:val="00E74FDB"/>
    <w:rsid w:val="00E75133"/>
    <w:rsid w:val="00E756AA"/>
    <w:rsid w:val="00E75707"/>
    <w:rsid w:val="00E75C53"/>
    <w:rsid w:val="00E75D4C"/>
    <w:rsid w:val="00E75F5F"/>
    <w:rsid w:val="00E762C6"/>
    <w:rsid w:val="00E76410"/>
    <w:rsid w:val="00E7654F"/>
    <w:rsid w:val="00E76703"/>
    <w:rsid w:val="00E767A7"/>
    <w:rsid w:val="00E76A22"/>
    <w:rsid w:val="00E77543"/>
    <w:rsid w:val="00E77580"/>
    <w:rsid w:val="00E77737"/>
    <w:rsid w:val="00E77BF2"/>
    <w:rsid w:val="00E77CE3"/>
    <w:rsid w:val="00E77CF8"/>
    <w:rsid w:val="00E77F9A"/>
    <w:rsid w:val="00E80347"/>
    <w:rsid w:val="00E80B30"/>
    <w:rsid w:val="00E80B86"/>
    <w:rsid w:val="00E81350"/>
    <w:rsid w:val="00E8144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B40"/>
    <w:rsid w:val="00E86036"/>
    <w:rsid w:val="00E8642B"/>
    <w:rsid w:val="00E86596"/>
    <w:rsid w:val="00E86605"/>
    <w:rsid w:val="00E86811"/>
    <w:rsid w:val="00E86B6E"/>
    <w:rsid w:val="00E86E8F"/>
    <w:rsid w:val="00E87820"/>
    <w:rsid w:val="00E878E0"/>
    <w:rsid w:val="00E87C36"/>
    <w:rsid w:val="00E87C43"/>
    <w:rsid w:val="00E87D16"/>
    <w:rsid w:val="00E87DF4"/>
    <w:rsid w:val="00E9043A"/>
    <w:rsid w:val="00E90627"/>
    <w:rsid w:val="00E90CBB"/>
    <w:rsid w:val="00E90F48"/>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6262"/>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12C1"/>
    <w:rsid w:val="00EA134B"/>
    <w:rsid w:val="00EA153A"/>
    <w:rsid w:val="00EA1910"/>
    <w:rsid w:val="00EA1E69"/>
    <w:rsid w:val="00EA207C"/>
    <w:rsid w:val="00EA2100"/>
    <w:rsid w:val="00EA23F4"/>
    <w:rsid w:val="00EA2605"/>
    <w:rsid w:val="00EA2B24"/>
    <w:rsid w:val="00EA2B65"/>
    <w:rsid w:val="00EA2B7A"/>
    <w:rsid w:val="00EA2D99"/>
    <w:rsid w:val="00EA319C"/>
    <w:rsid w:val="00EA3548"/>
    <w:rsid w:val="00EA355D"/>
    <w:rsid w:val="00EA37CF"/>
    <w:rsid w:val="00EA3AD1"/>
    <w:rsid w:val="00EA3BA8"/>
    <w:rsid w:val="00EA3F66"/>
    <w:rsid w:val="00EA3F7D"/>
    <w:rsid w:val="00EA452B"/>
    <w:rsid w:val="00EA459C"/>
    <w:rsid w:val="00EA4C38"/>
    <w:rsid w:val="00EA4EC1"/>
    <w:rsid w:val="00EA4FC2"/>
    <w:rsid w:val="00EA50A2"/>
    <w:rsid w:val="00EA51D0"/>
    <w:rsid w:val="00EA5277"/>
    <w:rsid w:val="00EA5299"/>
    <w:rsid w:val="00EA5343"/>
    <w:rsid w:val="00EA5491"/>
    <w:rsid w:val="00EA5AEF"/>
    <w:rsid w:val="00EA5C3F"/>
    <w:rsid w:val="00EA5C72"/>
    <w:rsid w:val="00EA5C7A"/>
    <w:rsid w:val="00EA5F52"/>
    <w:rsid w:val="00EA60D8"/>
    <w:rsid w:val="00EA6188"/>
    <w:rsid w:val="00EA650C"/>
    <w:rsid w:val="00EA661F"/>
    <w:rsid w:val="00EA6750"/>
    <w:rsid w:val="00EA68A5"/>
    <w:rsid w:val="00EA690A"/>
    <w:rsid w:val="00EA6932"/>
    <w:rsid w:val="00EA6C20"/>
    <w:rsid w:val="00EA6C35"/>
    <w:rsid w:val="00EA72AA"/>
    <w:rsid w:val="00EA7AB6"/>
    <w:rsid w:val="00EA7AF6"/>
    <w:rsid w:val="00EB026F"/>
    <w:rsid w:val="00EB0279"/>
    <w:rsid w:val="00EB0766"/>
    <w:rsid w:val="00EB0869"/>
    <w:rsid w:val="00EB0AAA"/>
    <w:rsid w:val="00EB0B1D"/>
    <w:rsid w:val="00EB1338"/>
    <w:rsid w:val="00EB1474"/>
    <w:rsid w:val="00EB1549"/>
    <w:rsid w:val="00EB1730"/>
    <w:rsid w:val="00EB1A9A"/>
    <w:rsid w:val="00EB1AC4"/>
    <w:rsid w:val="00EB1BD2"/>
    <w:rsid w:val="00EB1BF1"/>
    <w:rsid w:val="00EB1FE0"/>
    <w:rsid w:val="00EB2005"/>
    <w:rsid w:val="00EB200A"/>
    <w:rsid w:val="00EB2A37"/>
    <w:rsid w:val="00EB2C0C"/>
    <w:rsid w:val="00EB36C9"/>
    <w:rsid w:val="00EB385F"/>
    <w:rsid w:val="00EB4215"/>
    <w:rsid w:val="00EB45CF"/>
    <w:rsid w:val="00EB4604"/>
    <w:rsid w:val="00EB4AFB"/>
    <w:rsid w:val="00EB4BEF"/>
    <w:rsid w:val="00EB4BFA"/>
    <w:rsid w:val="00EB4C25"/>
    <w:rsid w:val="00EB4D13"/>
    <w:rsid w:val="00EB4F06"/>
    <w:rsid w:val="00EB4F49"/>
    <w:rsid w:val="00EB5033"/>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551"/>
    <w:rsid w:val="00EB6600"/>
    <w:rsid w:val="00EB662C"/>
    <w:rsid w:val="00EB6791"/>
    <w:rsid w:val="00EB69AA"/>
    <w:rsid w:val="00EB6A76"/>
    <w:rsid w:val="00EB6B64"/>
    <w:rsid w:val="00EB6E6E"/>
    <w:rsid w:val="00EB6EDA"/>
    <w:rsid w:val="00EB6F4E"/>
    <w:rsid w:val="00EB70BB"/>
    <w:rsid w:val="00EB7626"/>
    <w:rsid w:val="00EB772B"/>
    <w:rsid w:val="00EB7E63"/>
    <w:rsid w:val="00EC0023"/>
    <w:rsid w:val="00EC02BE"/>
    <w:rsid w:val="00EC04A4"/>
    <w:rsid w:val="00EC0E27"/>
    <w:rsid w:val="00EC1439"/>
    <w:rsid w:val="00EC16DE"/>
    <w:rsid w:val="00EC18C0"/>
    <w:rsid w:val="00EC1BA2"/>
    <w:rsid w:val="00EC1CE3"/>
    <w:rsid w:val="00EC1F2C"/>
    <w:rsid w:val="00EC2012"/>
    <w:rsid w:val="00EC264D"/>
    <w:rsid w:val="00EC265A"/>
    <w:rsid w:val="00EC2826"/>
    <w:rsid w:val="00EC289F"/>
    <w:rsid w:val="00EC29B7"/>
    <w:rsid w:val="00EC2CB2"/>
    <w:rsid w:val="00EC304C"/>
    <w:rsid w:val="00EC3114"/>
    <w:rsid w:val="00EC324B"/>
    <w:rsid w:val="00EC3316"/>
    <w:rsid w:val="00EC347A"/>
    <w:rsid w:val="00EC36D0"/>
    <w:rsid w:val="00EC3771"/>
    <w:rsid w:val="00EC37AE"/>
    <w:rsid w:val="00EC3C4B"/>
    <w:rsid w:val="00EC3D43"/>
    <w:rsid w:val="00EC40C1"/>
    <w:rsid w:val="00EC440E"/>
    <w:rsid w:val="00EC456D"/>
    <w:rsid w:val="00EC4948"/>
    <w:rsid w:val="00EC49D6"/>
    <w:rsid w:val="00EC4BE8"/>
    <w:rsid w:val="00EC4EA2"/>
    <w:rsid w:val="00EC5014"/>
    <w:rsid w:val="00EC533D"/>
    <w:rsid w:val="00EC5933"/>
    <w:rsid w:val="00EC5EA9"/>
    <w:rsid w:val="00EC6298"/>
    <w:rsid w:val="00EC62FE"/>
    <w:rsid w:val="00EC6905"/>
    <w:rsid w:val="00EC6A7A"/>
    <w:rsid w:val="00EC6CCD"/>
    <w:rsid w:val="00EC711C"/>
    <w:rsid w:val="00EC7158"/>
    <w:rsid w:val="00EC76F7"/>
    <w:rsid w:val="00EC7C3C"/>
    <w:rsid w:val="00ED0040"/>
    <w:rsid w:val="00ED02E9"/>
    <w:rsid w:val="00ED075A"/>
    <w:rsid w:val="00ED077D"/>
    <w:rsid w:val="00ED0878"/>
    <w:rsid w:val="00ED0CA6"/>
    <w:rsid w:val="00ED0DEA"/>
    <w:rsid w:val="00ED12B6"/>
    <w:rsid w:val="00ED12F6"/>
    <w:rsid w:val="00ED1959"/>
    <w:rsid w:val="00ED19A9"/>
    <w:rsid w:val="00ED1A9B"/>
    <w:rsid w:val="00ED1BE6"/>
    <w:rsid w:val="00ED2214"/>
    <w:rsid w:val="00ED25EF"/>
    <w:rsid w:val="00ED26AB"/>
    <w:rsid w:val="00ED26B0"/>
    <w:rsid w:val="00ED27C5"/>
    <w:rsid w:val="00ED2991"/>
    <w:rsid w:val="00ED2E7A"/>
    <w:rsid w:val="00ED2F5A"/>
    <w:rsid w:val="00ED3F0D"/>
    <w:rsid w:val="00ED4147"/>
    <w:rsid w:val="00ED446A"/>
    <w:rsid w:val="00ED44C2"/>
    <w:rsid w:val="00ED456D"/>
    <w:rsid w:val="00ED4795"/>
    <w:rsid w:val="00ED4887"/>
    <w:rsid w:val="00ED493B"/>
    <w:rsid w:val="00ED495F"/>
    <w:rsid w:val="00ED4A71"/>
    <w:rsid w:val="00ED4EE0"/>
    <w:rsid w:val="00ED5218"/>
    <w:rsid w:val="00ED570B"/>
    <w:rsid w:val="00ED5768"/>
    <w:rsid w:val="00ED59A1"/>
    <w:rsid w:val="00ED5C4B"/>
    <w:rsid w:val="00ED5EB5"/>
    <w:rsid w:val="00ED621C"/>
    <w:rsid w:val="00ED6955"/>
    <w:rsid w:val="00ED6966"/>
    <w:rsid w:val="00ED6F02"/>
    <w:rsid w:val="00ED6F33"/>
    <w:rsid w:val="00ED738E"/>
    <w:rsid w:val="00ED7548"/>
    <w:rsid w:val="00ED77DC"/>
    <w:rsid w:val="00ED7D84"/>
    <w:rsid w:val="00ED7EB1"/>
    <w:rsid w:val="00ED7EF4"/>
    <w:rsid w:val="00EE006B"/>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2AB"/>
    <w:rsid w:val="00EE26FE"/>
    <w:rsid w:val="00EE2899"/>
    <w:rsid w:val="00EE29A2"/>
    <w:rsid w:val="00EE2AF5"/>
    <w:rsid w:val="00EE2F6C"/>
    <w:rsid w:val="00EE3920"/>
    <w:rsid w:val="00EE3B8A"/>
    <w:rsid w:val="00EE3D81"/>
    <w:rsid w:val="00EE3EDA"/>
    <w:rsid w:val="00EE3F35"/>
    <w:rsid w:val="00EE3F63"/>
    <w:rsid w:val="00EE404E"/>
    <w:rsid w:val="00EE4175"/>
    <w:rsid w:val="00EE434A"/>
    <w:rsid w:val="00EE464D"/>
    <w:rsid w:val="00EE4CC9"/>
    <w:rsid w:val="00EE5133"/>
    <w:rsid w:val="00EE56FC"/>
    <w:rsid w:val="00EE578F"/>
    <w:rsid w:val="00EE5B91"/>
    <w:rsid w:val="00EE5BE6"/>
    <w:rsid w:val="00EE5D4E"/>
    <w:rsid w:val="00EE6174"/>
    <w:rsid w:val="00EE63AD"/>
    <w:rsid w:val="00EE63DF"/>
    <w:rsid w:val="00EE6489"/>
    <w:rsid w:val="00EE6646"/>
    <w:rsid w:val="00EE6AB2"/>
    <w:rsid w:val="00EE6CB5"/>
    <w:rsid w:val="00EE6CCE"/>
    <w:rsid w:val="00EE7106"/>
    <w:rsid w:val="00EE712F"/>
    <w:rsid w:val="00EE71BB"/>
    <w:rsid w:val="00EE726C"/>
    <w:rsid w:val="00EE72F2"/>
    <w:rsid w:val="00EE737E"/>
    <w:rsid w:val="00EE7D17"/>
    <w:rsid w:val="00EF008E"/>
    <w:rsid w:val="00EF0220"/>
    <w:rsid w:val="00EF0418"/>
    <w:rsid w:val="00EF0922"/>
    <w:rsid w:val="00EF0A40"/>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2D3"/>
    <w:rsid w:val="00EF38BD"/>
    <w:rsid w:val="00EF3CBF"/>
    <w:rsid w:val="00EF4310"/>
    <w:rsid w:val="00EF48C7"/>
    <w:rsid w:val="00EF57A9"/>
    <w:rsid w:val="00EF5867"/>
    <w:rsid w:val="00EF5C27"/>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8F0"/>
    <w:rsid w:val="00F00960"/>
    <w:rsid w:val="00F00976"/>
    <w:rsid w:val="00F00C09"/>
    <w:rsid w:val="00F00DB1"/>
    <w:rsid w:val="00F00FA0"/>
    <w:rsid w:val="00F019DD"/>
    <w:rsid w:val="00F01D81"/>
    <w:rsid w:val="00F01F30"/>
    <w:rsid w:val="00F01F84"/>
    <w:rsid w:val="00F022ED"/>
    <w:rsid w:val="00F026E3"/>
    <w:rsid w:val="00F0282C"/>
    <w:rsid w:val="00F02CA9"/>
    <w:rsid w:val="00F030A7"/>
    <w:rsid w:val="00F03326"/>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30"/>
    <w:rsid w:val="00F06676"/>
    <w:rsid w:val="00F06A6E"/>
    <w:rsid w:val="00F06D86"/>
    <w:rsid w:val="00F074A3"/>
    <w:rsid w:val="00F07587"/>
    <w:rsid w:val="00F075E9"/>
    <w:rsid w:val="00F076DE"/>
    <w:rsid w:val="00F07817"/>
    <w:rsid w:val="00F07EBC"/>
    <w:rsid w:val="00F10524"/>
    <w:rsid w:val="00F10972"/>
    <w:rsid w:val="00F10E94"/>
    <w:rsid w:val="00F112F1"/>
    <w:rsid w:val="00F117C2"/>
    <w:rsid w:val="00F117C5"/>
    <w:rsid w:val="00F11C48"/>
    <w:rsid w:val="00F12072"/>
    <w:rsid w:val="00F12325"/>
    <w:rsid w:val="00F123DA"/>
    <w:rsid w:val="00F12A41"/>
    <w:rsid w:val="00F12BDB"/>
    <w:rsid w:val="00F12F97"/>
    <w:rsid w:val="00F130A3"/>
    <w:rsid w:val="00F130AE"/>
    <w:rsid w:val="00F135F2"/>
    <w:rsid w:val="00F137A3"/>
    <w:rsid w:val="00F13941"/>
    <w:rsid w:val="00F13FA5"/>
    <w:rsid w:val="00F14405"/>
    <w:rsid w:val="00F1445F"/>
    <w:rsid w:val="00F145DF"/>
    <w:rsid w:val="00F14741"/>
    <w:rsid w:val="00F14F8C"/>
    <w:rsid w:val="00F1521E"/>
    <w:rsid w:val="00F153B8"/>
    <w:rsid w:val="00F15421"/>
    <w:rsid w:val="00F154E7"/>
    <w:rsid w:val="00F15557"/>
    <w:rsid w:val="00F15866"/>
    <w:rsid w:val="00F15AA4"/>
    <w:rsid w:val="00F15B5E"/>
    <w:rsid w:val="00F15C4D"/>
    <w:rsid w:val="00F15CF3"/>
    <w:rsid w:val="00F16006"/>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08B"/>
    <w:rsid w:val="00F20126"/>
    <w:rsid w:val="00F2042F"/>
    <w:rsid w:val="00F20579"/>
    <w:rsid w:val="00F205B8"/>
    <w:rsid w:val="00F20638"/>
    <w:rsid w:val="00F20676"/>
    <w:rsid w:val="00F20859"/>
    <w:rsid w:val="00F20B25"/>
    <w:rsid w:val="00F20CBD"/>
    <w:rsid w:val="00F20CDE"/>
    <w:rsid w:val="00F20D52"/>
    <w:rsid w:val="00F20F66"/>
    <w:rsid w:val="00F2113F"/>
    <w:rsid w:val="00F21439"/>
    <w:rsid w:val="00F21705"/>
    <w:rsid w:val="00F21940"/>
    <w:rsid w:val="00F21B5C"/>
    <w:rsid w:val="00F21E7B"/>
    <w:rsid w:val="00F2239F"/>
    <w:rsid w:val="00F2258A"/>
    <w:rsid w:val="00F2286E"/>
    <w:rsid w:val="00F228D6"/>
    <w:rsid w:val="00F22C36"/>
    <w:rsid w:val="00F22D00"/>
    <w:rsid w:val="00F22D2A"/>
    <w:rsid w:val="00F22F33"/>
    <w:rsid w:val="00F236BD"/>
    <w:rsid w:val="00F237F2"/>
    <w:rsid w:val="00F23A48"/>
    <w:rsid w:val="00F2401F"/>
    <w:rsid w:val="00F2403B"/>
    <w:rsid w:val="00F2463C"/>
    <w:rsid w:val="00F2502F"/>
    <w:rsid w:val="00F25187"/>
    <w:rsid w:val="00F251D8"/>
    <w:rsid w:val="00F254A8"/>
    <w:rsid w:val="00F2597B"/>
    <w:rsid w:val="00F25ABE"/>
    <w:rsid w:val="00F25C21"/>
    <w:rsid w:val="00F25D33"/>
    <w:rsid w:val="00F26065"/>
    <w:rsid w:val="00F2618B"/>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B36"/>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EAE"/>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60D"/>
    <w:rsid w:val="00F4180A"/>
    <w:rsid w:val="00F41C1F"/>
    <w:rsid w:val="00F41ED6"/>
    <w:rsid w:val="00F42C97"/>
    <w:rsid w:val="00F42E38"/>
    <w:rsid w:val="00F42FB5"/>
    <w:rsid w:val="00F4365A"/>
    <w:rsid w:val="00F437D3"/>
    <w:rsid w:val="00F43C7B"/>
    <w:rsid w:val="00F44130"/>
    <w:rsid w:val="00F44323"/>
    <w:rsid w:val="00F4486C"/>
    <w:rsid w:val="00F44919"/>
    <w:rsid w:val="00F44B9C"/>
    <w:rsid w:val="00F44C6C"/>
    <w:rsid w:val="00F44C89"/>
    <w:rsid w:val="00F44E77"/>
    <w:rsid w:val="00F45514"/>
    <w:rsid w:val="00F455CB"/>
    <w:rsid w:val="00F45A96"/>
    <w:rsid w:val="00F45ACC"/>
    <w:rsid w:val="00F462FB"/>
    <w:rsid w:val="00F464CF"/>
    <w:rsid w:val="00F46583"/>
    <w:rsid w:val="00F467F7"/>
    <w:rsid w:val="00F46A59"/>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F04"/>
    <w:rsid w:val="00F55087"/>
    <w:rsid w:val="00F550C8"/>
    <w:rsid w:val="00F55302"/>
    <w:rsid w:val="00F55521"/>
    <w:rsid w:val="00F5557B"/>
    <w:rsid w:val="00F55954"/>
    <w:rsid w:val="00F5599A"/>
    <w:rsid w:val="00F55BC9"/>
    <w:rsid w:val="00F55CAB"/>
    <w:rsid w:val="00F55CB3"/>
    <w:rsid w:val="00F55EBD"/>
    <w:rsid w:val="00F55F3F"/>
    <w:rsid w:val="00F566DC"/>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93"/>
    <w:rsid w:val="00F6071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CFF"/>
    <w:rsid w:val="00F64357"/>
    <w:rsid w:val="00F643C4"/>
    <w:rsid w:val="00F64462"/>
    <w:rsid w:val="00F64787"/>
    <w:rsid w:val="00F647C8"/>
    <w:rsid w:val="00F64A06"/>
    <w:rsid w:val="00F64DC7"/>
    <w:rsid w:val="00F64EDB"/>
    <w:rsid w:val="00F656BC"/>
    <w:rsid w:val="00F656C1"/>
    <w:rsid w:val="00F6584D"/>
    <w:rsid w:val="00F659AE"/>
    <w:rsid w:val="00F65B45"/>
    <w:rsid w:val="00F65D2C"/>
    <w:rsid w:val="00F660E2"/>
    <w:rsid w:val="00F663D9"/>
    <w:rsid w:val="00F666A2"/>
    <w:rsid w:val="00F66EFA"/>
    <w:rsid w:val="00F672A6"/>
    <w:rsid w:val="00F6747A"/>
    <w:rsid w:val="00F675BE"/>
    <w:rsid w:val="00F6764A"/>
    <w:rsid w:val="00F70006"/>
    <w:rsid w:val="00F7028C"/>
    <w:rsid w:val="00F70633"/>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E62"/>
    <w:rsid w:val="00F72FA5"/>
    <w:rsid w:val="00F73011"/>
    <w:rsid w:val="00F733FF"/>
    <w:rsid w:val="00F734C0"/>
    <w:rsid w:val="00F73588"/>
    <w:rsid w:val="00F73619"/>
    <w:rsid w:val="00F73874"/>
    <w:rsid w:val="00F73B5B"/>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AE1"/>
    <w:rsid w:val="00F80B83"/>
    <w:rsid w:val="00F80CDB"/>
    <w:rsid w:val="00F80EE7"/>
    <w:rsid w:val="00F81119"/>
    <w:rsid w:val="00F81161"/>
    <w:rsid w:val="00F8141B"/>
    <w:rsid w:val="00F8172F"/>
    <w:rsid w:val="00F81C31"/>
    <w:rsid w:val="00F81C53"/>
    <w:rsid w:val="00F820E8"/>
    <w:rsid w:val="00F825E6"/>
    <w:rsid w:val="00F82737"/>
    <w:rsid w:val="00F82C50"/>
    <w:rsid w:val="00F835CA"/>
    <w:rsid w:val="00F8371D"/>
    <w:rsid w:val="00F83834"/>
    <w:rsid w:val="00F838C9"/>
    <w:rsid w:val="00F839F6"/>
    <w:rsid w:val="00F83E38"/>
    <w:rsid w:val="00F840E1"/>
    <w:rsid w:val="00F8416D"/>
    <w:rsid w:val="00F8463D"/>
    <w:rsid w:val="00F8478A"/>
    <w:rsid w:val="00F847CD"/>
    <w:rsid w:val="00F84B72"/>
    <w:rsid w:val="00F84E53"/>
    <w:rsid w:val="00F84E61"/>
    <w:rsid w:val="00F85233"/>
    <w:rsid w:val="00F852B6"/>
    <w:rsid w:val="00F85392"/>
    <w:rsid w:val="00F856F0"/>
    <w:rsid w:val="00F85D8B"/>
    <w:rsid w:val="00F85DA7"/>
    <w:rsid w:val="00F85EE3"/>
    <w:rsid w:val="00F867AC"/>
    <w:rsid w:val="00F86D65"/>
    <w:rsid w:val="00F87011"/>
    <w:rsid w:val="00F87AD3"/>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E"/>
    <w:rsid w:val="00F9307F"/>
    <w:rsid w:val="00F9363F"/>
    <w:rsid w:val="00F93ACE"/>
    <w:rsid w:val="00F93F8F"/>
    <w:rsid w:val="00F94049"/>
    <w:rsid w:val="00F942F1"/>
    <w:rsid w:val="00F945C9"/>
    <w:rsid w:val="00F9480B"/>
    <w:rsid w:val="00F94BF2"/>
    <w:rsid w:val="00F94C9A"/>
    <w:rsid w:val="00F94CBD"/>
    <w:rsid w:val="00F94FE9"/>
    <w:rsid w:val="00F95193"/>
    <w:rsid w:val="00F95284"/>
    <w:rsid w:val="00F9546F"/>
    <w:rsid w:val="00F95489"/>
    <w:rsid w:val="00F959AB"/>
    <w:rsid w:val="00F95B4F"/>
    <w:rsid w:val="00F95D81"/>
    <w:rsid w:val="00F963C5"/>
    <w:rsid w:val="00F9651C"/>
    <w:rsid w:val="00F96559"/>
    <w:rsid w:val="00F96A67"/>
    <w:rsid w:val="00F96D06"/>
    <w:rsid w:val="00F9704A"/>
    <w:rsid w:val="00F97641"/>
    <w:rsid w:val="00F976CC"/>
    <w:rsid w:val="00F97731"/>
    <w:rsid w:val="00F97753"/>
    <w:rsid w:val="00F978DA"/>
    <w:rsid w:val="00F97944"/>
    <w:rsid w:val="00F97960"/>
    <w:rsid w:val="00F97C7B"/>
    <w:rsid w:val="00F97E4D"/>
    <w:rsid w:val="00FA0531"/>
    <w:rsid w:val="00FA0659"/>
    <w:rsid w:val="00FA0822"/>
    <w:rsid w:val="00FA08AD"/>
    <w:rsid w:val="00FA0C9C"/>
    <w:rsid w:val="00FA100C"/>
    <w:rsid w:val="00FA11AB"/>
    <w:rsid w:val="00FA12F1"/>
    <w:rsid w:val="00FA1386"/>
    <w:rsid w:val="00FA1388"/>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90"/>
    <w:rsid w:val="00FA409F"/>
    <w:rsid w:val="00FA448D"/>
    <w:rsid w:val="00FA4D9A"/>
    <w:rsid w:val="00FA4EB5"/>
    <w:rsid w:val="00FA564E"/>
    <w:rsid w:val="00FA56BD"/>
    <w:rsid w:val="00FA5AB4"/>
    <w:rsid w:val="00FA5B0D"/>
    <w:rsid w:val="00FA5B1E"/>
    <w:rsid w:val="00FA5BCB"/>
    <w:rsid w:val="00FA5C2A"/>
    <w:rsid w:val="00FA637E"/>
    <w:rsid w:val="00FA6520"/>
    <w:rsid w:val="00FA6543"/>
    <w:rsid w:val="00FA681C"/>
    <w:rsid w:val="00FA681F"/>
    <w:rsid w:val="00FA6BE0"/>
    <w:rsid w:val="00FA6CE3"/>
    <w:rsid w:val="00FA6DCE"/>
    <w:rsid w:val="00FA6E52"/>
    <w:rsid w:val="00FA75EE"/>
    <w:rsid w:val="00FA766B"/>
    <w:rsid w:val="00FA7E50"/>
    <w:rsid w:val="00FB00C9"/>
    <w:rsid w:val="00FB0440"/>
    <w:rsid w:val="00FB057F"/>
    <w:rsid w:val="00FB07D0"/>
    <w:rsid w:val="00FB084B"/>
    <w:rsid w:val="00FB0A82"/>
    <w:rsid w:val="00FB0C32"/>
    <w:rsid w:val="00FB0D19"/>
    <w:rsid w:val="00FB0E10"/>
    <w:rsid w:val="00FB0E75"/>
    <w:rsid w:val="00FB0E87"/>
    <w:rsid w:val="00FB0FE1"/>
    <w:rsid w:val="00FB133A"/>
    <w:rsid w:val="00FB1419"/>
    <w:rsid w:val="00FB1619"/>
    <w:rsid w:val="00FB1957"/>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C32"/>
    <w:rsid w:val="00FB4DB2"/>
    <w:rsid w:val="00FB51B3"/>
    <w:rsid w:val="00FB525B"/>
    <w:rsid w:val="00FB5542"/>
    <w:rsid w:val="00FB57E4"/>
    <w:rsid w:val="00FB5DCC"/>
    <w:rsid w:val="00FB5DEA"/>
    <w:rsid w:val="00FB5ECA"/>
    <w:rsid w:val="00FB6009"/>
    <w:rsid w:val="00FB6036"/>
    <w:rsid w:val="00FB64F7"/>
    <w:rsid w:val="00FB6598"/>
    <w:rsid w:val="00FB65C0"/>
    <w:rsid w:val="00FB6609"/>
    <w:rsid w:val="00FB67D6"/>
    <w:rsid w:val="00FB6866"/>
    <w:rsid w:val="00FB6918"/>
    <w:rsid w:val="00FB6B28"/>
    <w:rsid w:val="00FB6B30"/>
    <w:rsid w:val="00FB6B37"/>
    <w:rsid w:val="00FB6B86"/>
    <w:rsid w:val="00FB7041"/>
    <w:rsid w:val="00FB757A"/>
    <w:rsid w:val="00FB783B"/>
    <w:rsid w:val="00FB7876"/>
    <w:rsid w:val="00FB7A50"/>
    <w:rsid w:val="00FB7F54"/>
    <w:rsid w:val="00FB7F8F"/>
    <w:rsid w:val="00FC0535"/>
    <w:rsid w:val="00FC0697"/>
    <w:rsid w:val="00FC07BD"/>
    <w:rsid w:val="00FC0824"/>
    <w:rsid w:val="00FC0AD4"/>
    <w:rsid w:val="00FC0DF1"/>
    <w:rsid w:val="00FC107D"/>
    <w:rsid w:val="00FC10AB"/>
    <w:rsid w:val="00FC1551"/>
    <w:rsid w:val="00FC165F"/>
    <w:rsid w:val="00FC1758"/>
    <w:rsid w:val="00FC18A3"/>
    <w:rsid w:val="00FC19E0"/>
    <w:rsid w:val="00FC1A68"/>
    <w:rsid w:val="00FC1C29"/>
    <w:rsid w:val="00FC1CEA"/>
    <w:rsid w:val="00FC1DC3"/>
    <w:rsid w:val="00FC22C4"/>
    <w:rsid w:val="00FC23DD"/>
    <w:rsid w:val="00FC25C4"/>
    <w:rsid w:val="00FC27AF"/>
    <w:rsid w:val="00FC2D0E"/>
    <w:rsid w:val="00FC2FA5"/>
    <w:rsid w:val="00FC3336"/>
    <w:rsid w:val="00FC3578"/>
    <w:rsid w:val="00FC3A9A"/>
    <w:rsid w:val="00FC3CFD"/>
    <w:rsid w:val="00FC3F63"/>
    <w:rsid w:val="00FC4035"/>
    <w:rsid w:val="00FC413D"/>
    <w:rsid w:val="00FC459E"/>
    <w:rsid w:val="00FC4798"/>
    <w:rsid w:val="00FC479B"/>
    <w:rsid w:val="00FC4828"/>
    <w:rsid w:val="00FC488D"/>
    <w:rsid w:val="00FC4CB8"/>
    <w:rsid w:val="00FC4FB0"/>
    <w:rsid w:val="00FC4FDD"/>
    <w:rsid w:val="00FC50CD"/>
    <w:rsid w:val="00FC54C0"/>
    <w:rsid w:val="00FC5840"/>
    <w:rsid w:val="00FC588F"/>
    <w:rsid w:val="00FC5926"/>
    <w:rsid w:val="00FC59BB"/>
    <w:rsid w:val="00FC5AE4"/>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073"/>
    <w:rsid w:val="00FD2381"/>
    <w:rsid w:val="00FD2BBC"/>
    <w:rsid w:val="00FD2D68"/>
    <w:rsid w:val="00FD2E02"/>
    <w:rsid w:val="00FD2E9F"/>
    <w:rsid w:val="00FD2EC3"/>
    <w:rsid w:val="00FD2F0E"/>
    <w:rsid w:val="00FD2F56"/>
    <w:rsid w:val="00FD3495"/>
    <w:rsid w:val="00FD397B"/>
    <w:rsid w:val="00FD3B6C"/>
    <w:rsid w:val="00FD3BC6"/>
    <w:rsid w:val="00FD3F7C"/>
    <w:rsid w:val="00FD425B"/>
    <w:rsid w:val="00FD4374"/>
    <w:rsid w:val="00FD4851"/>
    <w:rsid w:val="00FD4A11"/>
    <w:rsid w:val="00FD4C38"/>
    <w:rsid w:val="00FD4E1E"/>
    <w:rsid w:val="00FD5247"/>
    <w:rsid w:val="00FD525B"/>
    <w:rsid w:val="00FD5D3B"/>
    <w:rsid w:val="00FD5E61"/>
    <w:rsid w:val="00FD6220"/>
    <w:rsid w:val="00FD6371"/>
    <w:rsid w:val="00FD6708"/>
    <w:rsid w:val="00FD73AB"/>
    <w:rsid w:val="00FD7A64"/>
    <w:rsid w:val="00FD7D18"/>
    <w:rsid w:val="00FE000E"/>
    <w:rsid w:val="00FE0049"/>
    <w:rsid w:val="00FE03D6"/>
    <w:rsid w:val="00FE061D"/>
    <w:rsid w:val="00FE06EA"/>
    <w:rsid w:val="00FE0725"/>
    <w:rsid w:val="00FE08A4"/>
    <w:rsid w:val="00FE0C43"/>
    <w:rsid w:val="00FE0C46"/>
    <w:rsid w:val="00FE1318"/>
    <w:rsid w:val="00FE131C"/>
    <w:rsid w:val="00FE1784"/>
    <w:rsid w:val="00FE17B7"/>
    <w:rsid w:val="00FE18BB"/>
    <w:rsid w:val="00FE18D3"/>
    <w:rsid w:val="00FE1AF4"/>
    <w:rsid w:val="00FE1EA2"/>
    <w:rsid w:val="00FE1F0B"/>
    <w:rsid w:val="00FE1F68"/>
    <w:rsid w:val="00FE2240"/>
    <w:rsid w:val="00FE2E76"/>
    <w:rsid w:val="00FE3056"/>
    <w:rsid w:val="00FE3729"/>
    <w:rsid w:val="00FE39A6"/>
    <w:rsid w:val="00FE3A17"/>
    <w:rsid w:val="00FE3A6C"/>
    <w:rsid w:val="00FE3CFE"/>
    <w:rsid w:val="00FE3D4D"/>
    <w:rsid w:val="00FE3D94"/>
    <w:rsid w:val="00FE3E4B"/>
    <w:rsid w:val="00FE3E77"/>
    <w:rsid w:val="00FE3F95"/>
    <w:rsid w:val="00FE4346"/>
    <w:rsid w:val="00FE484A"/>
    <w:rsid w:val="00FE50DE"/>
    <w:rsid w:val="00FE51C5"/>
    <w:rsid w:val="00FE54C1"/>
    <w:rsid w:val="00FE54F8"/>
    <w:rsid w:val="00FE5749"/>
    <w:rsid w:val="00FE578E"/>
    <w:rsid w:val="00FE5A98"/>
    <w:rsid w:val="00FE5AC7"/>
    <w:rsid w:val="00FE5B19"/>
    <w:rsid w:val="00FE5EF4"/>
    <w:rsid w:val="00FE5F32"/>
    <w:rsid w:val="00FE6497"/>
    <w:rsid w:val="00FE6573"/>
    <w:rsid w:val="00FE699E"/>
    <w:rsid w:val="00FE6E8C"/>
    <w:rsid w:val="00FE6F49"/>
    <w:rsid w:val="00FE755E"/>
    <w:rsid w:val="00FE75BC"/>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00D"/>
    <w:rsid w:val="00FF4467"/>
    <w:rsid w:val="00FF472B"/>
    <w:rsid w:val="00FF4916"/>
    <w:rsid w:val="00FF4CBE"/>
    <w:rsid w:val="00FF4D58"/>
    <w:rsid w:val="00FF4D76"/>
    <w:rsid w:val="00FF4F95"/>
    <w:rsid w:val="00FF51AF"/>
    <w:rsid w:val="00FF5383"/>
    <w:rsid w:val="00FF6158"/>
    <w:rsid w:val="00FF65EA"/>
    <w:rsid w:val="00FF69E0"/>
    <w:rsid w:val="00FF6A48"/>
    <w:rsid w:val="00FF6D4C"/>
    <w:rsid w:val="00FF6ED7"/>
    <w:rsid w:val="00FF7DAA"/>
    <w:rsid w:val="00FF7E0D"/>
    <w:rsid w:val="01117EEA"/>
    <w:rsid w:val="012401BA"/>
    <w:rsid w:val="0126041B"/>
    <w:rsid w:val="01303FD5"/>
    <w:rsid w:val="01552FD0"/>
    <w:rsid w:val="01661ED8"/>
    <w:rsid w:val="0198086A"/>
    <w:rsid w:val="01A355A1"/>
    <w:rsid w:val="01DA5C17"/>
    <w:rsid w:val="01EE141B"/>
    <w:rsid w:val="0255548F"/>
    <w:rsid w:val="02582E8A"/>
    <w:rsid w:val="02680325"/>
    <w:rsid w:val="028E7C8A"/>
    <w:rsid w:val="029F0C44"/>
    <w:rsid w:val="02BC49D6"/>
    <w:rsid w:val="02C5004A"/>
    <w:rsid w:val="02DC23AB"/>
    <w:rsid w:val="02E0683F"/>
    <w:rsid w:val="02F4788B"/>
    <w:rsid w:val="03341AEA"/>
    <w:rsid w:val="036F0FEC"/>
    <w:rsid w:val="039962DE"/>
    <w:rsid w:val="03DC4465"/>
    <w:rsid w:val="03FB0E14"/>
    <w:rsid w:val="03FD3B14"/>
    <w:rsid w:val="045F17F7"/>
    <w:rsid w:val="046837CA"/>
    <w:rsid w:val="04833FB9"/>
    <w:rsid w:val="04980608"/>
    <w:rsid w:val="04A077D4"/>
    <w:rsid w:val="04C63BD8"/>
    <w:rsid w:val="04CC0226"/>
    <w:rsid w:val="04E01B11"/>
    <w:rsid w:val="04E441F9"/>
    <w:rsid w:val="04FE1D38"/>
    <w:rsid w:val="050C53BC"/>
    <w:rsid w:val="05161364"/>
    <w:rsid w:val="05195D89"/>
    <w:rsid w:val="05862F44"/>
    <w:rsid w:val="058A52C5"/>
    <w:rsid w:val="05927D2A"/>
    <w:rsid w:val="059F3847"/>
    <w:rsid w:val="05A01AA2"/>
    <w:rsid w:val="05AF4534"/>
    <w:rsid w:val="05BB4A59"/>
    <w:rsid w:val="05CC1A3B"/>
    <w:rsid w:val="05F47B29"/>
    <w:rsid w:val="05FD5DDE"/>
    <w:rsid w:val="05FF69D9"/>
    <w:rsid w:val="0606517F"/>
    <w:rsid w:val="060C3E7B"/>
    <w:rsid w:val="06127908"/>
    <w:rsid w:val="063D3EF3"/>
    <w:rsid w:val="06482E81"/>
    <w:rsid w:val="064945E2"/>
    <w:rsid w:val="06532EBB"/>
    <w:rsid w:val="06664B84"/>
    <w:rsid w:val="068176BD"/>
    <w:rsid w:val="06871650"/>
    <w:rsid w:val="069D0A02"/>
    <w:rsid w:val="06B01105"/>
    <w:rsid w:val="06B42D2F"/>
    <w:rsid w:val="06B54366"/>
    <w:rsid w:val="06F51A39"/>
    <w:rsid w:val="07097C02"/>
    <w:rsid w:val="07183806"/>
    <w:rsid w:val="071B31D8"/>
    <w:rsid w:val="0729411E"/>
    <w:rsid w:val="073A23B4"/>
    <w:rsid w:val="07500A1D"/>
    <w:rsid w:val="075626C2"/>
    <w:rsid w:val="07B27B8A"/>
    <w:rsid w:val="07BC6562"/>
    <w:rsid w:val="07D061BA"/>
    <w:rsid w:val="07D9342B"/>
    <w:rsid w:val="07ED0B0D"/>
    <w:rsid w:val="082A0C6D"/>
    <w:rsid w:val="08756BB9"/>
    <w:rsid w:val="087B37AC"/>
    <w:rsid w:val="088970CC"/>
    <w:rsid w:val="089B79AC"/>
    <w:rsid w:val="08B56E6E"/>
    <w:rsid w:val="08D67BB9"/>
    <w:rsid w:val="09292A93"/>
    <w:rsid w:val="09330455"/>
    <w:rsid w:val="093D4205"/>
    <w:rsid w:val="09D81ED0"/>
    <w:rsid w:val="09EF54B0"/>
    <w:rsid w:val="09F55600"/>
    <w:rsid w:val="0A3534CE"/>
    <w:rsid w:val="0A3F7BC2"/>
    <w:rsid w:val="0A423127"/>
    <w:rsid w:val="0A4B17F7"/>
    <w:rsid w:val="0A556680"/>
    <w:rsid w:val="0A5F2FB6"/>
    <w:rsid w:val="0AA133FE"/>
    <w:rsid w:val="0AE50284"/>
    <w:rsid w:val="0AF26BFF"/>
    <w:rsid w:val="0B2F31D0"/>
    <w:rsid w:val="0B417E7B"/>
    <w:rsid w:val="0B470E2B"/>
    <w:rsid w:val="0B584690"/>
    <w:rsid w:val="0B605358"/>
    <w:rsid w:val="0B7C2440"/>
    <w:rsid w:val="0B93537C"/>
    <w:rsid w:val="0BB03BF2"/>
    <w:rsid w:val="0BD97DE4"/>
    <w:rsid w:val="0BEF628C"/>
    <w:rsid w:val="0C496199"/>
    <w:rsid w:val="0C8327D8"/>
    <w:rsid w:val="0CB03E09"/>
    <w:rsid w:val="0CE34E5A"/>
    <w:rsid w:val="0D0A33DB"/>
    <w:rsid w:val="0D2B2A8D"/>
    <w:rsid w:val="0D3821BD"/>
    <w:rsid w:val="0D576071"/>
    <w:rsid w:val="0D6B1740"/>
    <w:rsid w:val="0D832407"/>
    <w:rsid w:val="0D961941"/>
    <w:rsid w:val="0DA96BF0"/>
    <w:rsid w:val="0DC34046"/>
    <w:rsid w:val="0DC61B3F"/>
    <w:rsid w:val="0E2871DC"/>
    <w:rsid w:val="0E862091"/>
    <w:rsid w:val="0E89001D"/>
    <w:rsid w:val="0E910BDA"/>
    <w:rsid w:val="0E9113CE"/>
    <w:rsid w:val="0EA302A6"/>
    <w:rsid w:val="0ECF1D66"/>
    <w:rsid w:val="0EEF52DC"/>
    <w:rsid w:val="0F0356B1"/>
    <w:rsid w:val="0F17201F"/>
    <w:rsid w:val="0F3D271C"/>
    <w:rsid w:val="0F467898"/>
    <w:rsid w:val="0F574230"/>
    <w:rsid w:val="0F587D55"/>
    <w:rsid w:val="0F6A005A"/>
    <w:rsid w:val="0F6E3EA1"/>
    <w:rsid w:val="0FB86C7A"/>
    <w:rsid w:val="0FD30983"/>
    <w:rsid w:val="0FDE4973"/>
    <w:rsid w:val="0FFE5863"/>
    <w:rsid w:val="10137C05"/>
    <w:rsid w:val="101E2033"/>
    <w:rsid w:val="10315ECA"/>
    <w:rsid w:val="1032546D"/>
    <w:rsid w:val="10583DB9"/>
    <w:rsid w:val="105E3D7C"/>
    <w:rsid w:val="107A18F3"/>
    <w:rsid w:val="10856228"/>
    <w:rsid w:val="108D764D"/>
    <w:rsid w:val="10A251DE"/>
    <w:rsid w:val="10D73F5D"/>
    <w:rsid w:val="10DA0343"/>
    <w:rsid w:val="11142886"/>
    <w:rsid w:val="11252473"/>
    <w:rsid w:val="112B6D08"/>
    <w:rsid w:val="113210B7"/>
    <w:rsid w:val="119B7B86"/>
    <w:rsid w:val="11B4471C"/>
    <w:rsid w:val="11BA2241"/>
    <w:rsid w:val="11D70F97"/>
    <w:rsid w:val="11DB67DD"/>
    <w:rsid w:val="12062F5D"/>
    <w:rsid w:val="121C2184"/>
    <w:rsid w:val="123529C0"/>
    <w:rsid w:val="123840C4"/>
    <w:rsid w:val="12574C24"/>
    <w:rsid w:val="127B43A8"/>
    <w:rsid w:val="12E061EC"/>
    <w:rsid w:val="133863BD"/>
    <w:rsid w:val="13513960"/>
    <w:rsid w:val="13663C89"/>
    <w:rsid w:val="1367431D"/>
    <w:rsid w:val="137468CC"/>
    <w:rsid w:val="138C5193"/>
    <w:rsid w:val="13B0325D"/>
    <w:rsid w:val="13CA0D43"/>
    <w:rsid w:val="13DD57E8"/>
    <w:rsid w:val="13E67D66"/>
    <w:rsid w:val="14107472"/>
    <w:rsid w:val="14181987"/>
    <w:rsid w:val="14276FAA"/>
    <w:rsid w:val="14481492"/>
    <w:rsid w:val="14482A57"/>
    <w:rsid w:val="144B1618"/>
    <w:rsid w:val="147A2539"/>
    <w:rsid w:val="148A09C2"/>
    <w:rsid w:val="148A6443"/>
    <w:rsid w:val="1494713B"/>
    <w:rsid w:val="14A80E06"/>
    <w:rsid w:val="14F70207"/>
    <w:rsid w:val="15122838"/>
    <w:rsid w:val="15166DAE"/>
    <w:rsid w:val="1516707B"/>
    <w:rsid w:val="151A773C"/>
    <w:rsid w:val="15333676"/>
    <w:rsid w:val="155A087E"/>
    <w:rsid w:val="156218AD"/>
    <w:rsid w:val="15624E21"/>
    <w:rsid w:val="156D333E"/>
    <w:rsid w:val="156E0D26"/>
    <w:rsid w:val="1573339B"/>
    <w:rsid w:val="15893F03"/>
    <w:rsid w:val="15905CCE"/>
    <w:rsid w:val="15B34C4C"/>
    <w:rsid w:val="15CB1634"/>
    <w:rsid w:val="15DA4D25"/>
    <w:rsid w:val="16114E0F"/>
    <w:rsid w:val="161931F5"/>
    <w:rsid w:val="161E6F68"/>
    <w:rsid w:val="165C0B3C"/>
    <w:rsid w:val="168A72C6"/>
    <w:rsid w:val="168B1794"/>
    <w:rsid w:val="16A20280"/>
    <w:rsid w:val="16A909BC"/>
    <w:rsid w:val="16C401DA"/>
    <w:rsid w:val="16D15FD4"/>
    <w:rsid w:val="16F06BB2"/>
    <w:rsid w:val="16FB7BDB"/>
    <w:rsid w:val="171A3E0C"/>
    <w:rsid w:val="17396CF4"/>
    <w:rsid w:val="174C337B"/>
    <w:rsid w:val="17932D3D"/>
    <w:rsid w:val="17A5605C"/>
    <w:rsid w:val="17A749FA"/>
    <w:rsid w:val="17CD57D6"/>
    <w:rsid w:val="17D3561F"/>
    <w:rsid w:val="17DB50D6"/>
    <w:rsid w:val="180C2454"/>
    <w:rsid w:val="18101E53"/>
    <w:rsid w:val="18282414"/>
    <w:rsid w:val="182F47DC"/>
    <w:rsid w:val="183837CC"/>
    <w:rsid w:val="183B0919"/>
    <w:rsid w:val="185E70E3"/>
    <w:rsid w:val="187B3A80"/>
    <w:rsid w:val="18833A3D"/>
    <w:rsid w:val="188D317D"/>
    <w:rsid w:val="188E5ACF"/>
    <w:rsid w:val="18BE3E03"/>
    <w:rsid w:val="19147CD3"/>
    <w:rsid w:val="19297634"/>
    <w:rsid w:val="1934353C"/>
    <w:rsid w:val="194D0C0F"/>
    <w:rsid w:val="19734560"/>
    <w:rsid w:val="197A0151"/>
    <w:rsid w:val="19D01AB8"/>
    <w:rsid w:val="19D81562"/>
    <w:rsid w:val="19FA4F3B"/>
    <w:rsid w:val="1A0029B6"/>
    <w:rsid w:val="1A0C191F"/>
    <w:rsid w:val="1A1B60C1"/>
    <w:rsid w:val="1A266374"/>
    <w:rsid w:val="1A2E0D57"/>
    <w:rsid w:val="1A4D53B6"/>
    <w:rsid w:val="1A551D90"/>
    <w:rsid w:val="1A685F60"/>
    <w:rsid w:val="1A6E4CE9"/>
    <w:rsid w:val="1A9C7AD3"/>
    <w:rsid w:val="1AB5464E"/>
    <w:rsid w:val="1AC2058B"/>
    <w:rsid w:val="1AF57CC6"/>
    <w:rsid w:val="1B2C6DEF"/>
    <w:rsid w:val="1B74713D"/>
    <w:rsid w:val="1B8B16C6"/>
    <w:rsid w:val="1BD47476"/>
    <w:rsid w:val="1BE0739A"/>
    <w:rsid w:val="1BED0AD9"/>
    <w:rsid w:val="1C145935"/>
    <w:rsid w:val="1C145AD5"/>
    <w:rsid w:val="1CB770F1"/>
    <w:rsid w:val="1CBD0C2A"/>
    <w:rsid w:val="1D16559C"/>
    <w:rsid w:val="1D1E4577"/>
    <w:rsid w:val="1D1F1B09"/>
    <w:rsid w:val="1D2B777D"/>
    <w:rsid w:val="1D3632FD"/>
    <w:rsid w:val="1D3F6039"/>
    <w:rsid w:val="1D465018"/>
    <w:rsid w:val="1D540AAA"/>
    <w:rsid w:val="1D67388E"/>
    <w:rsid w:val="1D9A223D"/>
    <w:rsid w:val="1DB03C57"/>
    <w:rsid w:val="1DB078FD"/>
    <w:rsid w:val="1DB41A41"/>
    <w:rsid w:val="1DC37244"/>
    <w:rsid w:val="1DD62826"/>
    <w:rsid w:val="1E1C1976"/>
    <w:rsid w:val="1E352915"/>
    <w:rsid w:val="1E48483A"/>
    <w:rsid w:val="1E804D35"/>
    <w:rsid w:val="1EC5599A"/>
    <w:rsid w:val="1ED259D9"/>
    <w:rsid w:val="1ED902CC"/>
    <w:rsid w:val="1EDD1898"/>
    <w:rsid w:val="1EE473B3"/>
    <w:rsid w:val="1F022F8A"/>
    <w:rsid w:val="1F0615B0"/>
    <w:rsid w:val="1F345C41"/>
    <w:rsid w:val="1F925D3C"/>
    <w:rsid w:val="1FBF35E2"/>
    <w:rsid w:val="1FD114FC"/>
    <w:rsid w:val="1FDE530B"/>
    <w:rsid w:val="2028051C"/>
    <w:rsid w:val="202A27D1"/>
    <w:rsid w:val="206556E8"/>
    <w:rsid w:val="211D08F9"/>
    <w:rsid w:val="213E56E6"/>
    <w:rsid w:val="21412CBA"/>
    <w:rsid w:val="21492C0F"/>
    <w:rsid w:val="21702AE9"/>
    <w:rsid w:val="2194695A"/>
    <w:rsid w:val="219D3A9F"/>
    <w:rsid w:val="21A2394F"/>
    <w:rsid w:val="21A309D4"/>
    <w:rsid w:val="21A321E5"/>
    <w:rsid w:val="21D47D31"/>
    <w:rsid w:val="21E96C6C"/>
    <w:rsid w:val="21EA5B95"/>
    <w:rsid w:val="2203188B"/>
    <w:rsid w:val="22083F6F"/>
    <w:rsid w:val="222323F9"/>
    <w:rsid w:val="22285C24"/>
    <w:rsid w:val="22291402"/>
    <w:rsid w:val="224153BF"/>
    <w:rsid w:val="22536D79"/>
    <w:rsid w:val="225513B4"/>
    <w:rsid w:val="22683081"/>
    <w:rsid w:val="227E09AA"/>
    <w:rsid w:val="22826590"/>
    <w:rsid w:val="2286234F"/>
    <w:rsid w:val="228D7391"/>
    <w:rsid w:val="22933534"/>
    <w:rsid w:val="229A716A"/>
    <w:rsid w:val="229E195E"/>
    <w:rsid w:val="22B96C2D"/>
    <w:rsid w:val="22C0F2B2"/>
    <w:rsid w:val="22EB2AA1"/>
    <w:rsid w:val="22FA03F1"/>
    <w:rsid w:val="22FA27A4"/>
    <w:rsid w:val="23143038"/>
    <w:rsid w:val="232B18A2"/>
    <w:rsid w:val="234207E5"/>
    <w:rsid w:val="2347632E"/>
    <w:rsid w:val="237439B3"/>
    <w:rsid w:val="23E71DCD"/>
    <w:rsid w:val="2450029A"/>
    <w:rsid w:val="2460531D"/>
    <w:rsid w:val="24606B72"/>
    <w:rsid w:val="24622A8D"/>
    <w:rsid w:val="246C4F75"/>
    <w:rsid w:val="248C2238"/>
    <w:rsid w:val="248D5BB1"/>
    <w:rsid w:val="24A01FC2"/>
    <w:rsid w:val="24CE33AB"/>
    <w:rsid w:val="24D07863"/>
    <w:rsid w:val="24E12042"/>
    <w:rsid w:val="25021BBD"/>
    <w:rsid w:val="25157E1B"/>
    <w:rsid w:val="2522299D"/>
    <w:rsid w:val="256B10EF"/>
    <w:rsid w:val="25802577"/>
    <w:rsid w:val="258B6BB4"/>
    <w:rsid w:val="25AB170F"/>
    <w:rsid w:val="25E1246B"/>
    <w:rsid w:val="25FB292D"/>
    <w:rsid w:val="263C54DE"/>
    <w:rsid w:val="263F5632"/>
    <w:rsid w:val="26512B1C"/>
    <w:rsid w:val="2660444F"/>
    <w:rsid w:val="266336AB"/>
    <w:rsid w:val="26C11BD6"/>
    <w:rsid w:val="26CA225C"/>
    <w:rsid w:val="26CE724B"/>
    <w:rsid w:val="26E01C14"/>
    <w:rsid w:val="26E30CDC"/>
    <w:rsid w:val="27090909"/>
    <w:rsid w:val="270D558A"/>
    <w:rsid w:val="271414AB"/>
    <w:rsid w:val="276235FB"/>
    <w:rsid w:val="276A5C02"/>
    <w:rsid w:val="27916C5D"/>
    <w:rsid w:val="28153018"/>
    <w:rsid w:val="285476BF"/>
    <w:rsid w:val="28B64EC6"/>
    <w:rsid w:val="28CC33D9"/>
    <w:rsid w:val="28D371F8"/>
    <w:rsid w:val="28D91BE3"/>
    <w:rsid w:val="293314A5"/>
    <w:rsid w:val="29633C2A"/>
    <w:rsid w:val="29637791"/>
    <w:rsid w:val="296D751F"/>
    <w:rsid w:val="297C6272"/>
    <w:rsid w:val="299F1E59"/>
    <w:rsid w:val="29A75A2E"/>
    <w:rsid w:val="29F00FED"/>
    <w:rsid w:val="29FF0355"/>
    <w:rsid w:val="2A07347B"/>
    <w:rsid w:val="2A195C85"/>
    <w:rsid w:val="2A5F01E9"/>
    <w:rsid w:val="2A623846"/>
    <w:rsid w:val="2A706AFB"/>
    <w:rsid w:val="2A9867EE"/>
    <w:rsid w:val="2AF37176"/>
    <w:rsid w:val="2B01648B"/>
    <w:rsid w:val="2B035552"/>
    <w:rsid w:val="2B036B65"/>
    <w:rsid w:val="2B085A50"/>
    <w:rsid w:val="2B2A258B"/>
    <w:rsid w:val="2B2B5C90"/>
    <w:rsid w:val="2B3E356D"/>
    <w:rsid w:val="2B421A2B"/>
    <w:rsid w:val="2B4E6274"/>
    <w:rsid w:val="2B67049F"/>
    <w:rsid w:val="2B727B2C"/>
    <w:rsid w:val="2B820091"/>
    <w:rsid w:val="2B857674"/>
    <w:rsid w:val="2BA14AA2"/>
    <w:rsid w:val="2BA64067"/>
    <w:rsid w:val="2BB04295"/>
    <w:rsid w:val="2BC860A9"/>
    <w:rsid w:val="2BEE1C19"/>
    <w:rsid w:val="2C6124B8"/>
    <w:rsid w:val="2C625669"/>
    <w:rsid w:val="2C662B2D"/>
    <w:rsid w:val="2C703257"/>
    <w:rsid w:val="2CA327DA"/>
    <w:rsid w:val="2CAC6EBF"/>
    <w:rsid w:val="2CEC4F47"/>
    <w:rsid w:val="2D0834CC"/>
    <w:rsid w:val="2D1A3CA4"/>
    <w:rsid w:val="2D4A7C43"/>
    <w:rsid w:val="2D613707"/>
    <w:rsid w:val="2D802E66"/>
    <w:rsid w:val="2DB73573"/>
    <w:rsid w:val="2DF5197F"/>
    <w:rsid w:val="2E07735B"/>
    <w:rsid w:val="2E0C6C28"/>
    <w:rsid w:val="2E462AC8"/>
    <w:rsid w:val="2E50256D"/>
    <w:rsid w:val="2E5A38FC"/>
    <w:rsid w:val="2E6322EE"/>
    <w:rsid w:val="2E7F3812"/>
    <w:rsid w:val="2E986CFE"/>
    <w:rsid w:val="2EB506C3"/>
    <w:rsid w:val="2EB82A20"/>
    <w:rsid w:val="2EC321BA"/>
    <w:rsid w:val="2ED9694C"/>
    <w:rsid w:val="2EF01A30"/>
    <w:rsid w:val="2EF9001C"/>
    <w:rsid w:val="2F1B71F2"/>
    <w:rsid w:val="2F2A2539"/>
    <w:rsid w:val="2F45255B"/>
    <w:rsid w:val="2F773880"/>
    <w:rsid w:val="2F9477B2"/>
    <w:rsid w:val="2F9A0283"/>
    <w:rsid w:val="2F9A7992"/>
    <w:rsid w:val="2F9E6EA0"/>
    <w:rsid w:val="301918EF"/>
    <w:rsid w:val="30363DB9"/>
    <w:rsid w:val="304D032C"/>
    <w:rsid w:val="306B5BC2"/>
    <w:rsid w:val="306C4474"/>
    <w:rsid w:val="30B72B0A"/>
    <w:rsid w:val="30CB3F0E"/>
    <w:rsid w:val="30F470FE"/>
    <w:rsid w:val="315425DB"/>
    <w:rsid w:val="31726918"/>
    <w:rsid w:val="31762CD5"/>
    <w:rsid w:val="318F0AC6"/>
    <w:rsid w:val="31A35840"/>
    <w:rsid w:val="31C218C0"/>
    <w:rsid w:val="31FA0974"/>
    <w:rsid w:val="322A49DC"/>
    <w:rsid w:val="32591CA8"/>
    <w:rsid w:val="325A481D"/>
    <w:rsid w:val="32892EB1"/>
    <w:rsid w:val="32AD1732"/>
    <w:rsid w:val="32D44706"/>
    <w:rsid w:val="330A3409"/>
    <w:rsid w:val="331427F2"/>
    <w:rsid w:val="331D6649"/>
    <w:rsid w:val="3322629D"/>
    <w:rsid w:val="33256ECA"/>
    <w:rsid w:val="333A4819"/>
    <w:rsid w:val="333D0EEC"/>
    <w:rsid w:val="33413CD3"/>
    <w:rsid w:val="33570969"/>
    <w:rsid w:val="3366178D"/>
    <w:rsid w:val="33692B14"/>
    <w:rsid w:val="336A7566"/>
    <w:rsid w:val="338E27F9"/>
    <w:rsid w:val="33904407"/>
    <w:rsid w:val="33912A33"/>
    <w:rsid w:val="339C0546"/>
    <w:rsid w:val="33A04965"/>
    <w:rsid w:val="33B4369D"/>
    <w:rsid w:val="33D74C77"/>
    <w:rsid w:val="33E956F1"/>
    <w:rsid w:val="340668D9"/>
    <w:rsid w:val="3442235C"/>
    <w:rsid w:val="34486321"/>
    <w:rsid w:val="347D206C"/>
    <w:rsid w:val="34C5386D"/>
    <w:rsid w:val="34C67823"/>
    <w:rsid w:val="34E0506A"/>
    <w:rsid w:val="34F109DE"/>
    <w:rsid w:val="354B0DF9"/>
    <w:rsid w:val="356724B5"/>
    <w:rsid w:val="35686114"/>
    <w:rsid w:val="356B7BB8"/>
    <w:rsid w:val="35717019"/>
    <w:rsid w:val="3575111C"/>
    <w:rsid w:val="358E5CB8"/>
    <w:rsid w:val="35BA44E8"/>
    <w:rsid w:val="35BE4538"/>
    <w:rsid w:val="361352C6"/>
    <w:rsid w:val="365D1FF2"/>
    <w:rsid w:val="36887EF5"/>
    <w:rsid w:val="36AD2032"/>
    <w:rsid w:val="36C064E7"/>
    <w:rsid w:val="36F9686E"/>
    <w:rsid w:val="37242B85"/>
    <w:rsid w:val="37275FA2"/>
    <w:rsid w:val="376B32F9"/>
    <w:rsid w:val="379366AB"/>
    <w:rsid w:val="379C35FC"/>
    <w:rsid w:val="37C56ABD"/>
    <w:rsid w:val="37DD0D14"/>
    <w:rsid w:val="37DE2D4F"/>
    <w:rsid w:val="380C3F64"/>
    <w:rsid w:val="382413C2"/>
    <w:rsid w:val="382D45D4"/>
    <w:rsid w:val="38325AE1"/>
    <w:rsid w:val="387235FC"/>
    <w:rsid w:val="38929E66"/>
    <w:rsid w:val="38A35E1B"/>
    <w:rsid w:val="38BC7427"/>
    <w:rsid w:val="38DE31DB"/>
    <w:rsid w:val="392F6BA0"/>
    <w:rsid w:val="39AE641C"/>
    <w:rsid w:val="3A100D76"/>
    <w:rsid w:val="3A1D2ABE"/>
    <w:rsid w:val="3A4B733D"/>
    <w:rsid w:val="3A5E43AD"/>
    <w:rsid w:val="3A5F045A"/>
    <w:rsid w:val="3A752E11"/>
    <w:rsid w:val="3A7B61F1"/>
    <w:rsid w:val="3A9B3F57"/>
    <w:rsid w:val="3AA61B17"/>
    <w:rsid w:val="3AED3C1A"/>
    <w:rsid w:val="3B02412F"/>
    <w:rsid w:val="3B0E7E0D"/>
    <w:rsid w:val="3B1A7A02"/>
    <w:rsid w:val="3B3710F6"/>
    <w:rsid w:val="3B3C17FE"/>
    <w:rsid w:val="3B5075F7"/>
    <w:rsid w:val="3B570A07"/>
    <w:rsid w:val="3B952CE7"/>
    <w:rsid w:val="3BC9099A"/>
    <w:rsid w:val="3C0E6896"/>
    <w:rsid w:val="3C1F6FED"/>
    <w:rsid w:val="3C20775A"/>
    <w:rsid w:val="3C2178F5"/>
    <w:rsid w:val="3C402082"/>
    <w:rsid w:val="3C5C06A2"/>
    <w:rsid w:val="3C5E5CBD"/>
    <w:rsid w:val="3C641112"/>
    <w:rsid w:val="3CD05600"/>
    <w:rsid w:val="3D4E2EBE"/>
    <w:rsid w:val="3D581D30"/>
    <w:rsid w:val="3D7C324A"/>
    <w:rsid w:val="3DA12038"/>
    <w:rsid w:val="3DBB0FEB"/>
    <w:rsid w:val="3DC97128"/>
    <w:rsid w:val="3E0B1B42"/>
    <w:rsid w:val="3E28031D"/>
    <w:rsid w:val="3E287E45"/>
    <w:rsid w:val="3E3C6972"/>
    <w:rsid w:val="3E5E198F"/>
    <w:rsid w:val="3E623A36"/>
    <w:rsid w:val="3E627578"/>
    <w:rsid w:val="3E6676E2"/>
    <w:rsid w:val="3E703D6C"/>
    <w:rsid w:val="3E7E0ED8"/>
    <w:rsid w:val="3E8418D8"/>
    <w:rsid w:val="3E87305E"/>
    <w:rsid w:val="3E8A33A6"/>
    <w:rsid w:val="3E8E7A9F"/>
    <w:rsid w:val="3E9739BB"/>
    <w:rsid w:val="3EB64E66"/>
    <w:rsid w:val="3F0C65D5"/>
    <w:rsid w:val="3F2065F9"/>
    <w:rsid w:val="3F4F4175"/>
    <w:rsid w:val="3F636373"/>
    <w:rsid w:val="3F656E2B"/>
    <w:rsid w:val="3F6C0DCD"/>
    <w:rsid w:val="3F6C665A"/>
    <w:rsid w:val="3F774D4F"/>
    <w:rsid w:val="3F874C1D"/>
    <w:rsid w:val="3F900250"/>
    <w:rsid w:val="3F9079FA"/>
    <w:rsid w:val="3F9925AF"/>
    <w:rsid w:val="3F9E6FFF"/>
    <w:rsid w:val="3FDA0FB5"/>
    <w:rsid w:val="3FF7137F"/>
    <w:rsid w:val="40152228"/>
    <w:rsid w:val="402F7CD3"/>
    <w:rsid w:val="40521EBD"/>
    <w:rsid w:val="40620A2E"/>
    <w:rsid w:val="4075502D"/>
    <w:rsid w:val="408B6164"/>
    <w:rsid w:val="409B0652"/>
    <w:rsid w:val="40D17258"/>
    <w:rsid w:val="40FE4966"/>
    <w:rsid w:val="41111053"/>
    <w:rsid w:val="41187935"/>
    <w:rsid w:val="412C5365"/>
    <w:rsid w:val="41415FAE"/>
    <w:rsid w:val="4143359F"/>
    <w:rsid w:val="41581D4D"/>
    <w:rsid w:val="4173460E"/>
    <w:rsid w:val="418C69DD"/>
    <w:rsid w:val="419016FF"/>
    <w:rsid w:val="41A432F5"/>
    <w:rsid w:val="41D7003D"/>
    <w:rsid w:val="41F64B29"/>
    <w:rsid w:val="41FA3FB0"/>
    <w:rsid w:val="421C034B"/>
    <w:rsid w:val="42232058"/>
    <w:rsid w:val="4239180B"/>
    <w:rsid w:val="42C82A32"/>
    <w:rsid w:val="42CD7318"/>
    <w:rsid w:val="430F631F"/>
    <w:rsid w:val="43264965"/>
    <w:rsid w:val="433B36DA"/>
    <w:rsid w:val="435E2995"/>
    <w:rsid w:val="43767E31"/>
    <w:rsid w:val="43991159"/>
    <w:rsid w:val="43F63E0D"/>
    <w:rsid w:val="44011CD2"/>
    <w:rsid w:val="440F3915"/>
    <w:rsid w:val="44471B24"/>
    <w:rsid w:val="44531571"/>
    <w:rsid w:val="447B21F2"/>
    <w:rsid w:val="448A49AE"/>
    <w:rsid w:val="448E7C71"/>
    <w:rsid w:val="449E439E"/>
    <w:rsid w:val="44C57D0C"/>
    <w:rsid w:val="44D72D6A"/>
    <w:rsid w:val="44DD7A83"/>
    <w:rsid w:val="451433F2"/>
    <w:rsid w:val="452105E8"/>
    <w:rsid w:val="45221A31"/>
    <w:rsid w:val="45392B2C"/>
    <w:rsid w:val="453A42A6"/>
    <w:rsid w:val="454A6CBD"/>
    <w:rsid w:val="45624951"/>
    <w:rsid w:val="45813EBC"/>
    <w:rsid w:val="459B1754"/>
    <w:rsid w:val="45A96BE3"/>
    <w:rsid w:val="45C43A78"/>
    <w:rsid w:val="46047E1D"/>
    <w:rsid w:val="464D128C"/>
    <w:rsid w:val="4659162E"/>
    <w:rsid w:val="468B49DA"/>
    <w:rsid w:val="46A273BA"/>
    <w:rsid w:val="46D04CB2"/>
    <w:rsid w:val="46D31D46"/>
    <w:rsid w:val="475171C2"/>
    <w:rsid w:val="477667B8"/>
    <w:rsid w:val="477E2233"/>
    <w:rsid w:val="47E07AC6"/>
    <w:rsid w:val="47E1689C"/>
    <w:rsid w:val="484002FF"/>
    <w:rsid w:val="484735D8"/>
    <w:rsid w:val="48490202"/>
    <w:rsid w:val="48556ADD"/>
    <w:rsid w:val="48780E8B"/>
    <w:rsid w:val="48A644B6"/>
    <w:rsid w:val="48D83883"/>
    <w:rsid w:val="48EB390B"/>
    <w:rsid w:val="48F01C1F"/>
    <w:rsid w:val="48F72E27"/>
    <w:rsid w:val="4959256B"/>
    <w:rsid w:val="49E260EC"/>
    <w:rsid w:val="49E862B8"/>
    <w:rsid w:val="4A197E7E"/>
    <w:rsid w:val="4A306C8E"/>
    <w:rsid w:val="4A4828EB"/>
    <w:rsid w:val="4A5F5A11"/>
    <w:rsid w:val="4A6B72A5"/>
    <w:rsid w:val="4A6C52FB"/>
    <w:rsid w:val="4A9C66AE"/>
    <w:rsid w:val="4AB52D51"/>
    <w:rsid w:val="4AB61C7B"/>
    <w:rsid w:val="4AC8635E"/>
    <w:rsid w:val="4ACB3CBF"/>
    <w:rsid w:val="4AD40244"/>
    <w:rsid w:val="4AF414C0"/>
    <w:rsid w:val="4B332C64"/>
    <w:rsid w:val="4B5072F3"/>
    <w:rsid w:val="4B6C5E3B"/>
    <w:rsid w:val="4B77202D"/>
    <w:rsid w:val="4B7B4EE4"/>
    <w:rsid w:val="4B80024B"/>
    <w:rsid w:val="4B826C70"/>
    <w:rsid w:val="4B98302B"/>
    <w:rsid w:val="4BA629B5"/>
    <w:rsid w:val="4BEE16C6"/>
    <w:rsid w:val="4C093F15"/>
    <w:rsid w:val="4C1C3846"/>
    <w:rsid w:val="4C2A3065"/>
    <w:rsid w:val="4C4C303E"/>
    <w:rsid w:val="4C8E129F"/>
    <w:rsid w:val="4CA020D1"/>
    <w:rsid w:val="4CD77D98"/>
    <w:rsid w:val="4CF37D35"/>
    <w:rsid w:val="4CF525A3"/>
    <w:rsid w:val="4CFC6765"/>
    <w:rsid w:val="4CFC67ED"/>
    <w:rsid w:val="4D1C1D44"/>
    <w:rsid w:val="4D2237BD"/>
    <w:rsid w:val="4D341FE0"/>
    <w:rsid w:val="4D547C71"/>
    <w:rsid w:val="4D6471EF"/>
    <w:rsid w:val="4D6C2B45"/>
    <w:rsid w:val="4D73094D"/>
    <w:rsid w:val="4D9C1EA2"/>
    <w:rsid w:val="4DCB39F7"/>
    <w:rsid w:val="4E023248"/>
    <w:rsid w:val="4E401893"/>
    <w:rsid w:val="4E514E3E"/>
    <w:rsid w:val="4E5A5889"/>
    <w:rsid w:val="4E5E67F2"/>
    <w:rsid w:val="4E6039A2"/>
    <w:rsid w:val="4E8812E3"/>
    <w:rsid w:val="4E9D341B"/>
    <w:rsid w:val="4EA14F31"/>
    <w:rsid w:val="4ED14454"/>
    <w:rsid w:val="4F303458"/>
    <w:rsid w:val="4F571CDD"/>
    <w:rsid w:val="4F5A7E55"/>
    <w:rsid w:val="4F625DF9"/>
    <w:rsid w:val="4F634FF0"/>
    <w:rsid w:val="4F646F7D"/>
    <w:rsid w:val="4FD61F08"/>
    <w:rsid w:val="4FD62F03"/>
    <w:rsid w:val="4FE13ED5"/>
    <w:rsid w:val="4FE90D0B"/>
    <w:rsid w:val="500D049A"/>
    <w:rsid w:val="501973E0"/>
    <w:rsid w:val="5040308A"/>
    <w:rsid w:val="50472D1B"/>
    <w:rsid w:val="50715E7F"/>
    <w:rsid w:val="51464EB8"/>
    <w:rsid w:val="51705B77"/>
    <w:rsid w:val="51EA4273"/>
    <w:rsid w:val="51EE06FB"/>
    <w:rsid w:val="52137636"/>
    <w:rsid w:val="52222C04"/>
    <w:rsid w:val="522B3084"/>
    <w:rsid w:val="52464D2C"/>
    <w:rsid w:val="525D3474"/>
    <w:rsid w:val="52753A27"/>
    <w:rsid w:val="52C76529"/>
    <w:rsid w:val="52E431BD"/>
    <w:rsid w:val="52E5410B"/>
    <w:rsid w:val="53431F26"/>
    <w:rsid w:val="534A6C48"/>
    <w:rsid w:val="53516898"/>
    <w:rsid w:val="536A7BE8"/>
    <w:rsid w:val="536E3743"/>
    <w:rsid w:val="53AE06B9"/>
    <w:rsid w:val="53B52566"/>
    <w:rsid w:val="53C31425"/>
    <w:rsid w:val="53F15877"/>
    <w:rsid w:val="53F248F1"/>
    <w:rsid w:val="53F47B4C"/>
    <w:rsid w:val="53F97A84"/>
    <w:rsid w:val="53FA1881"/>
    <w:rsid w:val="540800E4"/>
    <w:rsid w:val="54154948"/>
    <w:rsid w:val="541F6242"/>
    <w:rsid w:val="542115C1"/>
    <w:rsid w:val="548167BE"/>
    <w:rsid w:val="54B16EC7"/>
    <w:rsid w:val="54F519C0"/>
    <w:rsid w:val="551E33C2"/>
    <w:rsid w:val="5563713A"/>
    <w:rsid w:val="556E4F53"/>
    <w:rsid w:val="559E0611"/>
    <w:rsid w:val="55A52891"/>
    <w:rsid w:val="55A6534B"/>
    <w:rsid w:val="55F04BDC"/>
    <w:rsid w:val="56043940"/>
    <w:rsid w:val="561878A5"/>
    <w:rsid w:val="564126BF"/>
    <w:rsid w:val="565E64FE"/>
    <w:rsid w:val="567634CB"/>
    <w:rsid w:val="56987029"/>
    <w:rsid w:val="56BD255D"/>
    <w:rsid w:val="57077B92"/>
    <w:rsid w:val="5735569F"/>
    <w:rsid w:val="575003B8"/>
    <w:rsid w:val="5755199F"/>
    <w:rsid w:val="57704345"/>
    <w:rsid w:val="57810C51"/>
    <w:rsid w:val="5781641D"/>
    <w:rsid w:val="578C3B2F"/>
    <w:rsid w:val="57AA386C"/>
    <w:rsid w:val="57AF207D"/>
    <w:rsid w:val="57B8216E"/>
    <w:rsid w:val="57E84CEB"/>
    <w:rsid w:val="57FE17BF"/>
    <w:rsid w:val="584F56E3"/>
    <w:rsid w:val="58BB6636"/>
    <w:rsid w:val="58ED26BF"/>
    <w:rsid w:val="59244A7C"/>
    <w:rsid w:val="593C7AFF"/>
    <w:rsid w:val="59736C5E"/>
    <w:rsid w:val="599E5B60"/>
    <w:rsid w:val="59B234B4"/>
    <w:rsid w:val="59C95751"/>
    <w:rsid w:val="59F4645C"/>
    <w:rsid w:val="5A343EE6"/>
    <w:rsid w:val="5A5B469F"/>
    <w:rsid w:val="5A630709"/>
    <w:rsid w:val="5A63799A"/>
    <w:rsid w:val="5A6C4F05"/>
    <w:rsid w:val="5AB84C34"/>
    <w:rsid w:val="5AC02876"/>
    <w:rsid w:val="5AC412D2"/>
    <w:rsid w:val="5AE14D7A"/>
    <w:rsid w:val="5AE706BD"/>
    <w:rsid w:val="5AF56710"/>
    <w:rsid w:val="5B0B2D57"/>
    <w:rsid w:val="5B123110"/>
    <w:rsid w:val="5B1B5784"/>
    <w:rsid w:val="5B1B6AA6"/>
    <w:rsid w:val="5B2A18C7"/>
    <w:rsid w:val="5B415786"/>
    <w:rsid w:val="5B6C5692"/>
    <w:rsid w:val="5B721297"/>
    <w:rsid w:val="5B8142DE"/>
    <w:rsid w:val="5BAE72CA"/>
    <w:rsid w:val="5BDA79C2"/>
    <w:rsid w:val="5BFB4047"/>
    <w:rsid w:val="5C021A80"/>
    <w:rsid w:val="5C0D140A"/>
    <w:rsid w:val="5C2A7FFF"/>
    <w:rsid w:val="5C2F55EE"/>
    <w:rsid w:val="5C6A01AA"/>
    <w:rsid w:val="5C7774C0"/>
    <w:rsid w:val="5CAC2612"/>
    <w:rsid w:val="5CD82B0B"/>
    <w:rsid w:val="5CDE7448"/>
    <w:rsid w:val="5CEE596C"/>
    <w:rsid w:val="5D305DF0"/>
    <w:rsid w:val="5D3778FE"/>
    <w:rsid w:val="5D545C57"/>
    <w:rsid w:val="5D62440A"/>
    <w:rsid w:val="5DA10FAE"/>
    <w:rsid w:val="5DC126BE"/>
    <w:rsid w:val="5DC95FF2"/>
    <w:rsid w:val="5DCB4D35"/>
    <w:rsid w:val="5DEE32C7"/>
    <w:rsid w:val="5E033332"/>
    <w:rsid w:val="5E2048A8"/>
    <w:rsid w:val="5E2E1ED4"/>
    <w:rsid w:val="5E33753B"/>
    <w:rsid w:val="5E99372A"/>
    <w:rsid w:val="5EA62058"/>
    <w:rsid w:val="5EAD718A"/>
    <w:rsid w:val="5EC50849"/>
    <w:rsid w:val="5ECB4491"/>
    <w:rsid w:val="5EDB0399"/>
    <w:rsid w:val="5EFC3252"/>
    <w:rsid w:val="5F212DB3"/>
    <w:rsid w:val="5F286258"/>
    <w:rsid w:val="5F4D4413"/>
    <w:rsid w:val="5F684E46"/>
    <w:rsid w:val="5F72650D"/>
    <w:rsid w:val="5F8A48F3"/>
    <w:rsid w:val="5F9546C2"/>
    <w:rsid w:val="5F974599"/>
    <w:rsid w:val="5FCD4101"/>
    <w:rsid w:val="5FDE19AA"/>
    <w:rsid w:val="60342417"/>
    <w:rsid w:val="603B0AB6"/>
    <w:rsid w:val="6068139C"/>
    <w:rsid w:val="60824293"/>
    <w:rsid w:val="60AF0257"/>
    <w:rsid w:val="60B52CF3"/>
    <w:rsid w:val="60F50EEB"/>
    <w:rsid w:val="610C1548"/>
    <w:rsid w:val="6112346A"/>
    <w:rsid w:val="615C2F15"/>
    <w:rsid w:val="617A4307"/>
    <w:rsid w:val="618D1DCC"/>
    <w:rsid w:val="619B5153"/>
    <w:rsid w:val="619C5A07"/>
    <w:rsid w:val="61AE2414"/>
    <w:rsid w:val="61B8462A"/>
    <w:rsid w:val="61C42B45"/>
    <w:rsid w:val="61E248B3"/>
    <w:rsid w:val="61ED18F7"/>
    <w:rsid w:val="61EF06C3"/>
    <w:rsid w:val="61F52A69"/>
    <w:rsid w:val="61F77F06"/>
    <w:rsid w:val="61F86876"/>
    <w:rsid w:val="621306AF"/>
    <w:rsid w:val="621C7AFD"/>
    <w:rsid w:val="622C6C6C"/>
    <w:rsid w:val="622E091F"/>
    <w:rsid w:val="627A4547"/>
    <w:rsid w:val="628A17BB"/>
    <w:rsid w:val="62A4506E"/>
    <w:rsid w:val="62C842E3"/>
    <w:rsid w:val="62F03EEC"/>
    <w:rsid w:val="62F9584B"/>
    <w:rsid w:val="636156DC"/>
    <w:rsid w:val="6385694C"/>
    <w:rsid w:val="64763432"/>
    <w:rsid w:val="649751D1"/>
    <w:rsid w:val="64AC33DB"/>
    <w:rsid w:val="64B30D39"/>
    <w:rsid w:val="64C84352"/>
    <w:rsid w:val="650855EE"/>
    <w:rsid w:val="651231C8"/>
    <w:rsid w:val="655905F2"/>
    <w:rsid w:val="655D4DE6"/>
    <w:rsid w:val="6571651D"/>
    <w:rsid w:val="65856C59"/>
    <w:rsid w:val="659F6FD4"/>
    <w:rsid w:val="65A23282"/>
    <w:rsid w:val="65C6076E"/>
    <w:rsid w:val="65D40562"/>
    <w:rsid w:val="65D505DE"/>
    <w:rsid w:val="66271F58"/>
    <w:rsid w:val="6664431B"/>
    <w:rsid w:val="66665F42"/>
    <w:rsid w:val="66825A60"/>
    <w:rsid w:val="66882331"/>
    <w:rsid w:val="669C10B7"/>
    <w:rsid w:val="66AE37D6"/>
    <w:rsid w:val="66B071E4"/>
    <w:rsid w:val="66B628BE"/>
    <w:rsid w:val="66F43399"/>
    <w:rsid w:val="66FC1481"/>
    <w:rsid w:val="672A3C3F"/>
    <w:rsid w:val="674E78C5"/>
    <w:rsid w:val="676C4A3A"/>
    <w:rsid w:val="67F60DF2"/>
    <w:rsid w:val="680B10C1"/>
    <w:rsid w:val="680D58DF"/>
    <w:rsid w:val="68161650"/>
    <w:rsid w:val="683C2DD5"/>
    <w:rsid w:val="68424505"/>
    <w:rsid w:val="68522BEB"/>
    <w:rsid w:val="6865237A"/>
    <w:rsid w:val="692C1198"/>
    <w:rsid w:val="69411880"/>
    <w:rsid w:val="69556F7E"/>
    <w:rsid w:val="69582D88"/>
    <w:rsid w:val="695A2AD5"/>
    <w:rsid w:val="69842EAC"/>
    <w:rsid w:val="69C7349C"/>
    <w:rsid w:val="69C8489A"/>
    <w:rsid w:val="69D17351"/>
    <w:rsid w:val="69FF7107"/>
    <w:rsid w:val="6A0A587B"/>
    <w:rsid w:val="6A46217A"/>
    <w:rsid w:val="6A70182F"/>
    <w:rsid w:val="6AF20B04"/>
    <w:rsid w:val="6B0774B3"/>
    <w:rsid w:val="6B7226D7"/>
    <w:rsid w:val="6B7B00D7"/>
    <w:rsid w:val="6B7F2E40"/>
    <w:rsid w:val="6B82154E"/>
    <w:rsid w:val="6B831C07"/>
    <w:rsid w:val="6C160570"/>
    <w:rsid w:val="6C522EA4"/>
    <w:rsid w:val="6C74101D"/>
    <w:rsid w:val="6CA5013B"/>
    <w:rsid w:val="6CBF1BBA"/>
    <w:rsid w:val="6CC21E51"/>
    <w:rsid w:val="6CC31DCF"/>
    <w:rsid w:val="6CC66A1D"/>
    <w:rsid w:val="6CCB4FEB"/>
    <w:rsid w:val="6CD1361D"/>
    <w:rsid w:val="6CEC6B4A"/>
    <w:rsid w:val="6CFF2C2A"/>
    <w:rsid w:val="6D2D712A"/>
    <w:rsid w:val="6D312484"/>
    <w:rsid w:val="6D8F08C7"/>
    <w:rsid w:val="6D996957"/>
    <w:rsid w:val="6D9F2455"/>
    <w:rsid w:val="6DE435E3"/>
    <w:rsid w:val="6DF363E7"/>
    <w:rsid w:val="6E023C8A"/>
    <w:rsid w:val="6E0B794B"/>
    <w:rsid w:val="6E5B2779"/>
    <w:rsid w:val="6E5D6883"/>
    <w:rsid w:val="6E641CA6"/>
    <w:rsid w:val="6E6D6D9E"/>
    <w:rsid w:val="6E862AD8"/>
    <w:rsid w:val="6EA35FE6"/>
    <w:rsid w:val="6EA6739B"/>
    <w:rsid w:val="6EAA230B"/>
    <w:rsid w:val="6EAD0C16"/>
    <w:rsid w:val="6EC027EB"/>
    <w:rsid w:val="6ED642C8"/>
    <w:rsid w:val="6F440039"/>
    <w:rsid w:val="6F8241A1"/>
    <w:rsid w:val="6FA17EB3"/>
    <w:rsid w:val="6FC45463"/>
    <w:rsid w:val="6FC56A92"/>
    <w:rsid w:val="6FDC23B5"/>
    <w:rsid w:val="70147557"/>
    <w:rsid w:val="704354BE"/>
    <w:rsid w:val="70867DB8"/>
    <w:rsid w:val="70A85981"/>
    <w:rsid w:val="70E8586F"/>
    <w:rsid w:val="70ED4CD4"/>
    <w:rsid w:val="711C7875"/>
    <w:rsid w:val="71345170"/>
    <w:rsid w:val="714948D5"/>
    <w:rsid w:val="714E4671"/>
    <w:rsid w:val="714E51A5"/>
    <w:rsid w:val="71586556"/>
    <w:rsid w:val="71D52B5F"/>
    <w:rsid w:val="71D757EB"/>
    <w:rsid w:val="71E744BB"/>
    <w:rsid w:val="7239465D"/>
    <w:rsid w:val="725B28C8"/>
    <w:rsid w:val="726C34C8"/>
    <w:rsid w:val="727C6062"/>
    <w:rsid w:val="72D50EC3"/>
    <w:rsid w:val="730333A6"/>
    <w:rsid w:val="73127037"/>
    <w:rsid w:val="73131184"/>
    <w:rsid w:val="732048F9"/>
    <w:rsid w:val="732336B5"/>
    <w:rsid w:val="735342BD"/>
    <w:rsid w:val="737A155E"/>
    <w:rsid w:val="737D7221"/>
    <w:rsid w:val="738A1700"/>
    <w:rsid w:val="73B51B77"/>
    <w:rsid w:val="73EB1C76"/>
    <w:rsid w:val="741E0B06"/>
    <w:rsid w:val="742F6900"/>
    <w:rsid w:val="743401C3"/>
    <w:rsid w:val="745A113A"/>
    <w:rsid w:val="745D06EB"/>
    <w:rsid w:val="746013D1"/>
    <w:rsid w:val="747A4702"/>
    <w:rsid w:val="748A73DF"/>
    <w:rsid w:val="74C421E2"/>
    <w:rsid w:val="74EA4A6E"/>
    <w:rsid w:val="75012DEC"/>
    <w:rsid w:val="750C3278"/>
    <w:rsid w:val="750E3E8C"/>
    <w:rsid w:val="75500B32"/>
    <w:rsid w:val="75757A59"/>
    <w:rsid w:val="75987D78"/>
    <w:rsid w:val="75BC2F83"/>
    <w:rsid w:val="75D64BB7"/>
    <w:rsid w:val="75EE7C07"/>
    <w:rsid w:val="76115319"/>
    <w:rsid w:val="76381300"/>
    <w:rsid w:val="76760624"/>
    <w:rsid w:val="76B22866"/>
    <w:rsid w:val="76CD17F4"/>
    <w:rsid w:val="76FC1310"/>
    <w:rsid w:val="76FD7DC5"/>
    <w:rsid w:val="770C39EB"/>
    <w:rsid w:val="77261019"/>
    <w:rsid w:val="774B5945"/>
    <w:rsid w:val="777C2A92"/>
    <w:rsid w:val="777C78AD"/>
    <w:rsid w:val="77805283"/>
    <w:rsid w:val="779C57A9"/>
    <w:rsid w:val="77C03C93"/>
    <w:rsid w:val="77F17064"/>
    <w:rsid w:val="780D6B15"/>
    <w:rsid w:val="78577434"/>
    <w:rsid w:val="78697A8F"/>
    <w:rsid w:val="786E5782"/>
    <w:rsid w:val="787743E5"/>
    <w:rsid w:val="787C13FF"/>
    <w:rsid w:val="7898572A"/>
    <w:rsid w:val="78A029F4"/>
    <w:rsid w:val="78A3591C"/>
    <w:rsid w:val="78A75C02"/>
    <w:rsid w:val="78DC40DE"/>
    <w:rsid w:val="79202048"/>
    <w:rsid w:val="7949434A"/>
    <w:rsid w:val="795B3F3C"/>
    <w:rsid w:val="79C5539D"/>
    <w:rsid w:val="79CE6B38"/>
    <w:rsid w:val="79EE3049"/>
    <w:rsid w:val="79F26295"/>
    <w:rsid w:val="79F768E4"/>
    <w:rsid w:val="7A041962"/>
    <w:rsid w:val="7A0A3BFE"/>
    <w:rsid w:val="7A132F5F"/>
    <w:rsid w:val="7A191851"/>
    <w:rsid w:val="7A2404E8"/>
    <w:rsid w:val="7A2442C3"/>
    <w:rsid w:val="7A2F1FBD"/>
    <w:rsid w:val="7A64355C"/>
    <w:rsid w:val="7A9D5678"/>
    <w:rsid w:val="7A9F5D3D"/>
    <w:rsid w:val="7AC34CA1"/>
    <w:rsid w:val="7B024B7C"/>
    <w:rsid w:val="7B0D556B"/>
    <w:rsid w:val="7B174FF3"/>
    <w:rsid w:val="7B212CD8"/>
    <w:rsid w:val="7B2F21F0"/>
    <w:rsid w:val="7B5100E5"/>
    <w:rsid w:val="7B5661F4"/>
    <w:rsid w:val="7B5B3EF1"/>
    <w:rsid w:val="7B5F42B2"/>
    <w:rsid w:val="7B8236D8"/>
    <w:rsid w:val="7BAB0CB7"/>
    <w:rsid w:val="7BF62A6B"/>
    <w:rsid w:val="7BFB4974"/>
    <w:rsid w:val="7C6D3F9B"/>
    <w:rsid w:val="7C791166"/>
    <w:rsid w:val="7C816D3D"/>
    <w:rsid w:val="7CB921BA"/>
    <w:rsid w:val="7CD4054C"/>
    <w:rsid w:val="7CEB73D0"/>
    <w:rsid w:val="7CFE25FA"/>
    <w:rsid w:val="7D014654"/>
    <w:rsid w:val="7D25084C"/>
    <w:rsid w:val="7D4549EB"/>
    <w:rsid w:val="7D4C0AC4"/>
    <w:rsid w:val="7D4F00CC"/>
    <w:rsid w:val="7DF81D84"/>
    <w:rsid w:val="7E316697"/>
    <w:rsid w:val="7E402A56"/>
    <w:rsid w:val="7E5D2998"/>
    <w:rsid w:val="7E5F7486"/>
    <w:rsid w:val="7E730E24"/>
    <w:rsid w:val="7E890736"/>
    <w:rsid w:val="7E8B4C0D"/>
    <w:rsid w:val="7E993A8A"/>
    <w:rsid w:val="7F3441D1"/>
    <w:rsid w:val="7F403324"/>
    <w:rsid w:val="7F847246"/>
    <w:rsid w:val="7F9231A3"/>
    <w:rsid w:val="7F9A7DEF"/>
    <w:rsid w:val="7F9B48DF"/>
    <w:rsid w:val="7FA00C6A"/>
    <w:rsid w:val="7FAD3913"/>
    <w:rsid w:val="7FB660FB"/>
    <w:rsid w:val="7FD8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F0C20"/>
  <w15:docId w15:val="{FC8FCC7A-3DEE-439E-9FB6-8F4A386F5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uiPriority="9"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
    <w:link w:val="10"/>
    <w:uiPriority w:val="8"/>
    <w:qFormat/>
    <w:pPr>
      <w:keepNext/>
      <w:spacing w:before="360"/>
      <w:outlineLvl w:val="0"/>
    </w:pPr>
    <w:rPr>
      <w:rFonts w:ascii="Arial" w:eastAsia="宋体" w:hAnsi="Arial" w:cs="Arial"/>
      <w:b/>
      <w:bCs/>
      <w:kern w:val="32"/>
      <w:sz w:val="28"/>
      <w:szCs w:val="32"/>
      <w:lang w:eastAsia="zh-CN"/>
    </w:rPr>
  </w:style>
  <w:style w:type="paragraph" w:styleId="20">
    <w:name w:val="heading 2"/>
    <w:basedOn w:val="1"/>
    <w:next w:val="a"/>
    <w:link w:val="21"/>
    <w:uiPriority w:val="9"/>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rPr>
  </w:style>
  <w:style w:type="paragraph" w:styleId="4">
    <w:name w:val="heading 4"/>
    <w:basedOn w:val="a"/>
    <w:next w:val="a"/>
    <w:uiPriority w:val="8"/>
    <w:qFormat/>
    <w:pPr>
      <w:keepNext/>
      <w:spacing w:before="240" w:after="60"/>
      <w:outlineLvl w:val="3"/>
    </w:pPr>
    <w:rPr>
      <w:rFonts w:eastAsia="MS Mincho"/>
      <w:b/>
      <w:bCs/>
      <w:sz w:val="28"/>
      <w:szCs w:val="28"/>
    </w:rPr>
  </w:style>
  <w:style w:type="paragraph" w:styleId="50">
    <w:name w:val="heading 5"/>
    <w:basedOn w:val="a"/>
    <w:next w:val="a"/>
    <w:uiPriority w:val="8"/>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uiPriority w:val="8"/>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uiPriority w:val="8"/>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qFormat/>
    <w:pPr>
      <w:tabs>
        <w:tab w:val="left" w:pos="1304"/>
      </w:tabs>
      <w:ind w:left="1304" w:hanging="1304"/>
      <w:contextualSpacing/>
    </w:pPr>
  </w:style>
  <w:style w:type="paragraph" w:styleId="a3">
    <w:name w:val="Normal Indent"/>
    <w:basedOn w:val="a"/>
    <w:qFormat/>
    <w:pPr>
      <w:ind w:firstLine="420"/>
    </w:pPr>
  </w:style>
  <w:style w:type="paragraph" w:styleId="a4">
    <w:name w:val="caption"/>
    <w:basedOn w:val="a"/>
    <w:next w:val="a"/>
    <w:link w:val="a5"/>
    <w:qFormat/>
    <w:pPr>
      <w:overflowPunct w:val="0"/>
      <w:autoSpaceDE w:val="0"/>
      <w:autoSpaceDN w:val="0"/>
      <w:adjustRightInd w:val="0"/>
      <w:spacing w:before="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11"/>
    <w:qFormat/>
  </w:style>
  <w:style w:type="paragraph" w:styleId="a8">
    <w:name w:val="Body Text"/>
    <w:basedOn w:val="a"/>
    <w:link w:val="a9"/>
    <w:qFormat/>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Date"/>
    <w:basedOn w:val="a"/>
    <w:next w:val="a"/>
    <w:link w:val="ac"/>
    <w:qFormat/>
    <w:pPr>
      <w:ind w:leftChars="2500" w:left="100"/>
    </w:p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7"/>
    <w:next w:val="a7"/>
    <w:semiHidden/>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a5">
    <w:name w:val="题注 字符"/>
    <w:link w:val="a4"/>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9">
    <w:name w:val="List Paragraph"/>
    <w:basedOn w:val="a"/>
    <w:link w:val="afa"/>
    <w:uiPriority w:val="99"/>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b">
    <w:name w:val="No Spacing"/>
    <w:uiPriority w:val="1"/>
    <w:qFormat/>
    <w:rPr>
      <w:rFonts w:eastAsia="Times New Roman"/>
      <w:lang w:eastAsia="en-US"/>
    </w:rPr>
  </w:style>
  <w:style w:type="paragraph" w:customStyle="1" w:styleId="references">
    <w:name w:val="references"/>
    <w:link w:val="references0"/>
    <w:qFormat/>
    <w:pPr>
      <w:numPr>
        <w:numId w:val="5"/>
      </w:numPr>
      <w:jc w:val="both"/>
    </w:pPr>
    <w:rPr>
      <w:rFonts w:eastAsiaTheme="minorEastAsia"/>
      <w:szCs w:val="16"/>
    </w:rPr>
  </w:style>
  <w:style w:type="character" w:customStyle="1" w:styleId="afa">
    <w:name w:val="列表段落 字符"/>
    <w:link w:val="af9"/>
    <w:uiPriority w:val="34"/>
    <w:qFormat/>
    <w:locked/>
    <w:rPr>
      <w:rFonts w:ascii="Calibri" w:hAnsi="Calibri"/>
      <w:kern w:val="2"/>
      <w:sz w:val="21"/>
      <w:szCs w:val="22"/>
    </w:rPr>
  </w:style>
  <w:style w:type="paragraph" w:customStyle="1" w:styleId="Style11">
    <w:name w:val="Style1.1"/>
    <w:basedOn w:val="a8"/>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7"/>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spacing w:before="120"/>
    </w:pPr>
    <w:rPr>
      <w:rFonts w:eastAsia="Arial"/>
      <w:b w:val="0"/>
    </w:rPr>
  </w:style>
  <w:style w:type="character" w:customStyle="1" w:styleId="10">
    <w:name w:val="标题 1 字符"/>
    <w:link w:val="1"/>
    <w:uiPriority w:val="8"/>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uiPriority w:val="9"/>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8"/>
    <w:next w:val="a"/>
    <w:link w:val="proposal1"/>
    <w:qFormat/>
    <w:pPr>
      <w:numPr>
        <w:numId w:val="9"/>
      </w:numPr>
      <w:spacing w:beforeLines="50" w:before="50" w:afterLines="50" w:after="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1">
    <w:name w:val="proposal 字符1"/>
    <w:link w:val="proposal"/>
    <w:qFormat/>
    <w:rPr>
      <w:b/>
    </w:rPr>
  </w:style>
  <w:style w:type="character" w:customStyle="1" w:styleId="bullet10">
    <w:name w:val="bullet1 字符"/>
    <w:link w:val="bullet1"/>
    <w:qFormat/>
    <w:rPr>
      <w:szCs w:val="24"/>
    </w:rPr>
  </w:style>
  <w:style w:type="character" w:customStyle="1" w:styleId="ac">
    <w:name w:val="日期 字符"/>
    <w:basedOn w:val="a0"/>
    <w:link w:val="ab"/>
    <w:qFormat/>
    <w:rPr>
      <w:rFonts w:eastAsia="Times New Roman"/>
      <w:szCs w:val="24"/>
      <w:lang w:eastAsia="en-US"/>
    </w:rPr>
  </w:style>
  <w:style w:type="character" w:styleId="afc">
    <w:name w:val="Placeholder Text"/>
    <w:basedOn w:val="a0"/>
    <w:uiPriority w:val="99"/>
    <w:semiHidden/>
    <w:qFormat/>
    <w:rPr>
      <w:color w:val="808080"/>
    </w:rPr>
  </w:style>
  <w:style w:type="character" w:customStyle="1" w:styleId="afd">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0"/>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0"/>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0"/>
    <w:qFormat/>
    <w:pPr>
      <w:numPr>
        <w:numId w:val="12"/>
      </w:numPr>
      <w:tabs>
        <w:tab w:val="left" w:pos="322"/>
      </w:tabs>
      <w:spacing w:before="120" w:after="120"/>
      <w:jc w:val="left"/>
    </w:pPr>
    <w:rPr>
      <w:rFonts w:eastAsiaTheme="minorEastAsia"/>
    </w:rPr>
  </w:style>
  <w:style w:type="paragraph" w:customStyle="1" w:styleId="boldbullet1">
    <w:name w:val="boldbullet1"/>
    <w:basedOn w:val="bullet1"/>
    <w:link w:val="boldbullet10"/>
    <w:qFormat/>
    <w:rPr>
      <w:b/>
    </w:rPr>
  </w:style>
  <w:style w:type="character" w:customStyle="1" w:styleId="observation0">
    <w:name w:val="observation 字符"/>
    <w:basedOn w:val="proposal1"/>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imes New Roman"/>
      <w:szCs w:val="24"/>
      <w:lang w:eastAsia="en-US"/>
    </w:rPr>
  </w:style>
  <w:style w:type="character" w:customStyle="1" w:styleId="proposal2">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0"/>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14">
    <w:name w:val="未处理的提及1"/>
    <w:basedOn w:val="a0"/>
    <w:uiPriority w:val="99"/>
    <w:semiHidden/>
    <w:unhideWhenUsed/>
    <w:qFormat/>
    <w:rPr>
      <w:color w:val="605E5C"/>
      <w:shd w:val="clear" w:color="auto" w:fill="E1DFDD"/>
    </w:rPr>
  </w:style>
  <w:style w:type="paragraph" w:customStyle="1" w:styleId="MTDisplayEquation">
    <w:name w:val="MTDisplayEquation"/>
    <w:basedOn w:val="references"/>
    <w:next w:val="a"/>
    <w:link w:val="MTDisplayEquation0"/>
    <w:qFormat/>
    <w:pPr>
      <w:numPr>
        <w:numId w:val="0"/>
      </w:numPr>
      <w:tabs>
        <w:tab w:val="center" w:pos="4540"/>
        <w:tab w:val="right" w:pos="9080"/>
      </w:tabs>
    </w:pPr>
  </w:style>
  <w:style w:type="character" w:customStyle="1" w:styleId="references0">
    <w:name w:val="references 字符"/>
    <w:basedOn w:val="a0"/>
    <w:link w:val="references"/>
    <w:qFormat/>
    <w:rPr>
      <w:rFonts w:eastAsiaTheme="minorEastAsia"/>
      <w:szCs w:val="16"/>
    </w:rPr>
  </w:style>
  <w:style w:type="character" w:customStyle="1" w:styleId="MTDisplayEquation0">
    <w:name w:val="MTDisplayEquation 字符"/>
    <w:basedOn w:val="references0"/>
    <w:link w:val="MTDisplayEquation"/>
    <w:qFormat/>
    <w:rPr>
      <w:rFonts w:eastAsiaTheme="minorEastAsia"/>
      <w:szCs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
    <w:name w:val="页脚 字符"/>
    <w:basedOn w:val="a0"/>
    <w:link w:val="ae"/>
    <w:uiPriority w:val="99"/>
    <w:qFormat/>
    <w:rPr>
      <w:rFonts w:eastAsia="Times New Roman"/>
      <w:sz w:val="18"/>
      <w:szCs w:val="18"/>
      <w:lang w:eastAsia="en-US"/>
    </w:rPr>
  </w:style>
  <w:style w:type="paragraph" w:customStyle="1" w:styleId="B4">
    <w:name w:val="B4"/>
    <w:basedOn w:val="a"/>
    <w:qFormat/>
    <w:pPr>
      <w:spacing w:after="180"/>
      <w:ind w:left="1418" w:hanging="284"/>
      <w:jc w:val="left"/>
    </w:pPr>
    <w:rPr>
      <w:rFonts w:eastAsiaTheme="minorEastAsia"/>
      <w:szCs w:val="20"/>
      <w:lang w:val="en-GB"/>
    </w:rPr>
  </w:style>
  <w:style w:type="character" w:customStyle="1" w:styleId="cf01">
    <w:name w:val="cf01"/>
    <w:basedOn w:val="a0"/>
    <w:qFormat/>
    <w:rPr>
      <w:rFonts w:ascii="Meiryo UI" w:eastAsia="Meiryo UI" w:hAnsi="Meiryo UI" w:hint="eastAsia"/>
      <w:sz w:val="18"/>
      <w:szCs w:val="18"/>
    </w:rPr>
  </w:style>
  <w:style w:type="paragraph" w:customStyle="1" w:styleId="NO">
    <w:name w:val="NO"/>
    <w:basedOn w:val="a"/>
    <w:qFormat/>
    <w:pPr>
      <w:keepLines/>
      <w:ind w:left="1135" w:hanging="851"/>
    </w:pPr>
  </w:style>
  <w:style w:type="character" w:customStyle="1" w:styleId="tgt">
    <w:name w:val="tgt"/>
    <w:basedOn w:val="a0"/>
    <w:qFormat/>
  </w:style>
  <w:style w:type="paragraph" w:customStyle="1" w:styleId="3GPPHeader">
    <w:name w:val="3GPP_Header"/>
    <w:basedOn w:val="a"/>
    <w:qFormat/>
    <w:pPr>
      <w:widowControl w:val="0"/>
      <w:tabs>
        <w:tab w:val="left" w:pos="1800"/>
        <w:tab w:val="right" w:pos="9360"/>
      </w:tabs>
      <w:spacing w:after="0"/>
    </w:pPr>
    <w:rPr>
      <w:rFonts w:ascii="Arial" w:eastAsia="宋体" w:hAnsi="Arial"/>
      <w:b/>
      <w:kern w:val="2"/>
      <w:sz w:val="21"/>
      <w:lang w:eastAsia="zh-CN"/>
    </w:rPr>
  </w:style>
  <w:style w:type="paragraph" w:customStyle="1" w:styleId="ListParagraph1">
    <w:name w:val="List Paragraph1"/>
    <w:basedOn w:val="a"/>
    <w:uiPriority w:val="34"/>
    <w:qFormat/>
    <w:pPr>
      <w:spacing w:after="160" w:line="259" w:lineRule="auto"/>
      <w:ind w:left="720"/>
      <w:contextualSpacing/>
      <w:jc w:val="left"/>
    </w:pPr>
    <w:rPr>
      <w:rFonts w:asciiTheme="minorHAnsi" w:eastAsiaTheme="minorEastAsia" w:hAnsiTheme="minorHAnsi" w:cstheme="minorBidi"/>
      <w:sz w:val="22"/>
      <w:szCs w:val="22"/>
      <w:lang w:eastAsia="zh-CN"/>
    </w:rPr>
  </w:style>
  <w:style w:type="character" w:customStyle="1" w:styleId="22">
    <w:name w:val="未处理的提及2"/>
    <w:basedOn w:val="a0"/>
    <w:uiPriority w:val="99"/>
    <w:semiHidden/>
    <w:unhideWhenUsed/>
    <w:qFormat/>
    <w:rPr>
      <w:color w:val="605E5C"/>
      <w:shd w:val="clear" w:color="auto" w:fill="E1DFDD"/>
    </w:rPr>
  </w:style>
  <w:style w:type="character" w:customStyle="1" w:styleId="ui-provider">
    <w:name w:val="ui-provider"/>
    <w:basedOn w:val="a0"/>
    <w:qFormat/>
  </w:style>
  <w:style w:type="paragraph" w:customStyle="1" w:styleId="NewParagraphStyle">
    <w:name w:val="New Paragraph Style"/>
    <w:basedOn w:val="a"/>
    <w:qFormat/>
    <w:pPr>
      <w:widowControl w:val="0"/>
      <w:numPr>
        <w:numId w:val="15"/>
      </w:numPr>
      <w:adjustRightInd w:val="0"/>
      <w:spacing w:after="160" w:line="480" w:lineRule="auto"/>
      <w:ind w:left="420"/>
      <w:textAlignment w:val="baseline"/>
    </w:pPr>
    <w:rPr>
      <w:rFonts w:ascii="Courier New" w:hAnsi="Courier New"/>
      <w:bCs/>
      <w:szCs w:val="20"/>
    </w:rPr>
  </w:style>
  <w:style w:type="paragraph" w:customStyle="1" w:styleId="DraftProposal">
    <w:name w:val="Draft Proposal"/>
    <w:basedOn w:val="a8"/>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01BDB35-04F0-4CB5-AE67-5AB9D082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3815</Words>
  <Characters>21750</Characters>
  <Application>Microsoft Office Word</Application>
  <DocSecurity>0</DocSecurity>
  <Lines>181</Lines>
  <Paragraphs>51</Paragraphs>
  <ScaleCrop>false</ScaleCrop>
  <Company>ZTE</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ZTE-Nan</dc:creator>
  <cp:lastModifiedBy>ZTE</cp:lastModifiedBy>
  <cp:revision>2</cp:revision>
  <cp:lastPrinted>2011-08-03T09:36:00Z</cp:lastPrinted>
  <dcterms:created xsi:type="dcterms:W3CDTF">2024-06-10T16:35:00Z</dcterms:created>
  <dcterms:modified xsi:type="dcterms:W3CDTF">2024-06-10T16:35:00Z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KSOProductBuildVer">
    <vt:lpwstr>2052-11.8.2.9022</vt:lpwstr>
  </property>
  <property fmtid="{D5CDD505-2E9C-101B-9397-08002B2CF9AE}" pid="5" name="ICV">
    <vt:lpwstr>B614057EF891436BBC491578E4F3E6AD</vt:lpwstr>
  </property>
</Properties>
</file>